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04298550"/>
        <w:docPartObj>
          <w:docPartGallery w:val="Cover Pages"/>
          <w:docPartUnique/>
        </w:docPartObj>
      </w:sdtPr>
      <w:sdtContent>
        <w:p w:rsidR="001931AB" w:rsidRPr="00E52611" w:rsidRDefault="001931AB" w:rsidP="001931AB">
          <w:pPr>
            <w:jc w:val="center"/>
            <w:rPr>
              <w:rFonts w:cs="Courier New"/>
              <w:sz w:val="28"/>
            </w:rPr>
          </w:pPr>
          <w:r w:rsidRPr="00E52611">
            <w:rPr>
              <w:rFonts w:cs="Courier New"/>
              <w:sz w:val="28"/>
            </w:rPr>
            <w:t>No. 10-1068</w:t>
          </w:r>
        </w:p>
        <w:p w:rsidR="001931AB" w:rsidRPr="00E52611" w:rsidRDefault="001931AB" w:rsidP="001931AB">
          <w:pPr>
            <w:jc w:val="center"/>
            <w:rPr>
              <w:rFonts w:cs="Courier New"/>
            </w:rPr>
          </w:pPr>
        </w:p>
        <w:p w:rsidR="001931AB" w:rsidRPr="00E52611" w:rsidRDefault="001931AB" w:rsidP="001931AB">
          <w:pPr>
            <w:pBdr>
              <w:top w:val="thinThickSmallGap" w:sz="24" w:space="1" w:color="auto"/>
            </w:pBdr>
            <w:jc w:val="center"/>
            <w:rPr>
              <w:rFonts w:cs="Courier New"/>
            </w:rPr>
          </w:pPr>
        </w:p>
        <w:p w:rsidR="001931AB" w:rsidRPr="00E52611" w:rsidRDefault="001931AB" w:rsidP="001931AB">
          <w:pPr>
            <w:jc w:val="center"/>
            <w:rPr>
              <w:rFonts w:cs="Courier New"/>
            </w:rPr>
          </w:pPr>
          <w:r w:rsidRPr="00E52611">
            <w:rPr>
              <w:rFonts w:cs="Courier New"/>
              <w:noProof/>
              <w:lang w:eastAsia="en-US"/>
            </w:rPr>
            <w:drawing>
              <wp:inline distT="0" distB="0" distL="0" distR="0">
                <wp:extent cx="4765040" cy="375920"/>
                <wp:effectExtent l="0" t="0" r="1016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6079"/>
                        <a:stretch>
                          <a:fillRect/>
                        </a:stretch>
                      </pic:blipFill>
                      <pic:spPr bwMode="auto">
                        <a:xfrm>
                          <a:off x="0" y="0"/>
                          <a:ext cx="4765040" cy="375920"/>
                        </a:xfrm>
                        <a:prstGeom prst="rect">
                          <a:avLst/>
                        </a:prstGeom>
                        <a:noFill/>
                        <a:ln>
                          <a:noFill/>
                        </a:ln>
                      </pic:spPr>
                    </pic:pic>
                  </a:graphicData>
                </a:graphic>
              </wp:inline>
            </w:drawing>
          </w:r>
        </w:p>
        <w:p w:rsidR="001931AB" w:rsidRPr="00E52611" w:rsidRDefault="001931AB" w:rsidP="001931AB">
          <w:pPr>
            <w:jc w:val="center"/>
            <w:rPr>
              <w:rFonts w:cs="Courier New"/>
            </w:rPr>
          </w:pPr>
          <w:r w:rsidRPr="00E52611">
            <w:rPr>
              <w:rFonts w:cs="Courier New"/>
            </w:rPr>
            <w:t>________</w:t>
          </w:r>
        </w:p>
        <w:p w:rsidR="001931AB" w:rsidRPr="00E52611" w:rsidRDefault="001931AB" w:rsidP="001931AB">
          <w:pPr>
            <w:jc w:val="center"/>
            <w:rPr>
              <w:rFonts w:cs="Courier New"/>
            </w:rPr>
          </w:pPr>
        </w:p>
        <w:p w:rsidR="001931AB" w:rsidRPr="00E52611" w:rsidRDefault="001931AB" w:rsidP="001931AB">
          <w:pPr>
            <w:jc w:val="center"/>
            <w:rPr>
              <w:rFonts w:cs="Courier New"/>
            </w:rPr>
          </w:pPr>
        </w:p>
        <w:p w:rsidR="001931AB" w:rsidRPr="00E52611" w:rsidRDefault="001931AB" w:rsidP="001931AB">
          <w:pPr>
            <w:jc w:val="center"/>
            <w:rPr>
              <w:rFonts w:cs="Courier New"/>
              <w:smallCaps/>
              <w:sz w:val="33"/>
              <w:szCs w:val="33"/>
            </w:rPr>
          </w:pPr>
          <w:r w:rsidRPr="00E52611">
            <w:rPr>
              <w:rFonts w:cs="Courier New"/>
              <w:smallCaps/>
              <w:sz w:val="33"/>
              <w:szCs w:val="33"/>
            </w:rPr>
            <w:t xml:space="preserve">Acorn, Acorn Institute, Inc., and Mhany Management, Inc., </w:t>
          </w:r>
          <w:r w:rsidRPr="00E52611">
            <w:rPr>
              <w:rFonts w:cs="Courier New"/>
              <w:sz w:val="33"/>
              <w:szCs w:val="33"/>
            </w:rPr>
            <w:t>f/k/a New York Acorn Housing Company, Inc.,</w:t>
          </w:r>
        </w:p>
        <w:p w:rsidR="001931AB" w:rsidRPr="00E52611" w:rsidRDefault="001931AB" w:rsidP="001931AB">
          <w:pPr>
            <w:jc w:val="center"/>
            <w:rPr>
              <w:rFonts w:cs="Courier New"/>
              <w:smallCaps/>
              <w:sz w:val="33"/>
              <w:szCs w:val="33"/>
            </w:rPr>
          </w:pPr>
          <w:r w:rsidRPr="00E52611">
            <w:rPr>
              <w:rFonts w:cs="Courier New"/>
              <w:smallCaps/>
              <w:sz w:val="33"/>
              <w:szCs w:val="33"/>
            </w:rPr>
            <w:t>Petitioner</w:t>
          </w:r>
        </w:p>
        <w:p w:rsidR="001931AB" w:rsidRPr="00E52611" w:rsidRDefault="001931AB" w:rsidP="001931AB">
          <w:pPr>
            <w:jc w:val="center"/>
            <w:rPr>
              <w:rFonts w:cs="Courier New"/>
              <w:sz w:val="33"/>
              <w:szCs w:val="33"/>
            </w:rPr>
          </w:pPr>
        </w:p>
        <w:p w:rsidR="001931AB" w:rsidRPr="00E52611" w:rsidRDefault="001931AB" w:rsidP="001931AB">
          <w:pPr>
            <w:jc w:val="center"/>
            <w:rPr>
              <w:rFonts w:cs="Courier New"/>
              <w:i/>
              <w:sz w:val="33"/>
              <w:szCs w:val="33"/>
            </w:rPr>
          </w:pPr>
          <w:r w:rsidRPr="00E52611">
            <w:rPr>
              <w:rFonts w:cs="Courier New"/>
              <w:i/>
              <w:sz w:val="33"/>
              <w:szCs w:val="33"/>
            </w:rPr>
            <w:t>v.</w:t>
          </w:r>
        </w:p>
        <w:p w:rsidR="001931AB" w:rsidRPr="00E52611" w:rsidRDefault="001931AB" w:rsidP="001931AB">
          <w:pPr>
            <w:jc w:val="center"/>
            <w:rPr>
              <w:rFonts w:cs="Courier New"/>
              <w:sz w:val="33"/>
              <w:szCs w:val="33"/>
            </w:rPr>
          </w:pPr>
        </w:p>
        <w:p w:rsidR="001931AB" w:rsidRPr="00E52611" w:rsidRDefault="001931AB" w:rsidP="001931AB">
          <w:pPr>
            <w:jc w:val="center"/>
            <w:rPr>
              <w:rFonts w:cs="Courier New"/>
              <w:smallCaps/>
              <w:sz w:val="33"/>
              <w:szCs w:val="33"/>
            </w:rPr>
          </w:pPr>
          <w:r w:rsidRPr="00E52611">
            <w:rPr>
              <w:rFonts w:cs="Courier New"/>
              <w:smallCaps/>
              <w:sz w:val="33"/>
              <w:szCs w:val="33"/>
            </w:rPr>
            <w:t xml:space="preserve">United States of America, </w:t>
          </w:r>
          <w:r w:rsidRPr="00E52611">
            <w:rPr>
              <w:rFonts w:cs="Courier New"/>
              <w:sz w:val="33"/>
              <w:szCs w:val="33"/>
            </w:rPr>
            <w:t>et al</w:t>
          </w:r>
          <w:r w:rsidRPr="00E52611">
            <w:rPr>
              <w:rFonts w:cs="Courier New"/>
              <w:smallCaps/>
              <w:sz w:val="33"/>
              <w:szCs w:val="33"/>
            </w:rPr>
            <w:t>.,</w:t>
          </w:r>
        </w:p>
        <w:p w:rsidR="001931AB" w:rsidRPr="00E52611" w:rsidRDefault="001931AB" w:rsidP="001931AB">
          <w:pPr>
            <w:jc w:val="center"/>
            <w:rPr>
              <w:rFonts w:cs="Courier New"/>
              <w:smallCaps/>
              <w:sz w:val="33"/>
              <w:szCs w:val="33"/>
            </w:rPr>
          </w:pPr>
          <w:r w:rsidRPr="00E52611">
            <w:rPr>
              <w:rFonts w:cs="Courier New"/>
              <w:smallCaps/>
              <w:sz w:val="33"/>
              <w:szCs w:val="33"/>
            </w:rPr>
            <w:t>Respondents</w:t>
          </w:r>
        </w:p>
        <w:p w:rsidR="001931AB" w:rsidRPr="00E52611" w:rsidRDefault="001931AB" w:rsidP="001931AB">
          <w:pPr>
            <w:jc w:val="center"/>
            <w:rPr>
              <w:rFonts w:cs="Courier New"/>
            </w:rPr>
          </w:pPr>
        </w:p>
        <w:p w:rsidR="001931AB" w:rsidRPr="00E52611" w:rsidRDefault="001931AB" w:rsidP="001931AB">
          <w:pPr>
            <w:jc w:val="center"/>
            <w:rPr>
              <w:rFonts w:cs="Courier New"/>
            </w:rPr>
          </w:pPr>
          <w:r w:rsidRPr="00E52611">
            <w:rPr>
              <w:rFonts w:cs="Courier New"/>
            </w:rPr>
            <w:t>________</w:t>
          </w:r>
        </w:p>
        <w:p w:rsidR="001931AB" w:rsidRPr="00E52611" w:rsidRDefault="001931AB" w:rsidP="001931AB">
          <w:pPr>
            <w:jc w:val="center"/>
            <w:rPr>
              <w:rFonts w:cs="Courier New"/>
            </w:rPr>
          </w:pPr>
        </w:p>
        <w:p w:rsidR="001931AB" w:rsidRPr="00E52611" w:rsidRDefault="001931AB" w:rsidP="001931AB">
          <w:pPr>
            <w:jc w:val="center"/>
            <w:rPr>
              <w:rFonts w:cs="Courier New"/>
              <w:bCs/>
              <w:i/>
              <w:caps/>
            </w:rPr>
          </w:pPr>
          <w:r w:rsidRPr="00E52611">
            <w:rPr>
              <w:rFonts w:cs="Courier New"/>
              <w:bCs/>
              <w:i/>
              <w:caps/>
            </w:rPr>
            <w:t>On Writ of Certiorari</w:t>
          </w:r>
        </w:p>
        <w:p w:rsidR="001931AB" w:rsidRPr="00E52611" w:rsidRDefault="001931AB" w:rsidP="001931AB">
          <w:pPr>
            <w:jc w:val="center"/>
            <w:rPr>
              <w:rFonts w:cs="Courier New"/>
              <w:bCs/>
              <w:i/>
              <w:caps/>
            </w:rPr>
          </w:pPr>
          <w:r w:rsidRPr="00E52611">
            <w:rPr>
              <w:rFonts w:cs="Courier New"/>
              <w:bCs/>
              <w:i/>
              <w:caps/>
            </w:rPr>
            <w:t>To The United States Court of Appeals</w:t>
          </w:r>
        </w:p>
        <w:p w:rsidR="001931AB" w:rsidRPr="00E52611" w:rsidRDefault="001931AB" w:rsidP="001931AB">
          <w:pPr>
            <w:jc w:val="center"/>
            <w:rPr>
              <w:rFonts w:cs="Courier New"/>
              <w:bCs/>
              <w:i/>
              <w:caps/>
            </w:rPr>
          </w:pPr>
          <w:r w:rsidRPr="00E52611">
            <w:rPr>
              <w:rFonts w:cs="Courier New"/>
              <w:bCs/>
              <w:i/>
              <w:caps/>
            </w:rPr>
            <w:t>For The second Circuit</w:t>
          </w:r>
        </w:p>
        <w:p w:rsidR="001931AB" w:rsidRPr="00E52611" w:rsidRDefault="001931AB" w:rsidP="001931AB">
          <w:pPr>
            <w:rPr>
              <w:rFonts w:cs="Courier New"/>
              <w:b/>
              <w:bCs/>
            </w:rPr>
          </w:pPr>
        </w:p>
        <w:p w:rsidR="001931AB" w:rsidRPr="00E52611" w:rsidRDefault="001931AB" w:rsidP="001931AB">
          <w:pPr>
            <w:jc w:val="center"/>
            <w:rPr>
              <w:rFonts w:cs="Courier New"/>
              <w:b/>
              <w:bCs/>
            </w:rPr>
          </w:pPr>
        </w:p>
        <w:p w:rsidR="001931AB" w:rsidRPr="00E52611" w:rsidRDefault="001931AB" w:rsidP="001931AB">
          <w:pPr>
            <w:pBdr>
              <w:top w:val="double" w:sz="4" w:space="1" w:color="auto"/>
              <w:bottom w:val="double" w:sz="4" w:space="1" w:color="auto"/>
            </w:pBdr>
            <w:jc w:val="center"/>
            <w:rPr>
              <w:rFonts w:cs="Courier New"/>
              <w:b/>
              <w:bCs/>
            </w:rPr>
          </w:pPr>
        </w:p>
        <w:p w:rsidR="001931AB" w:rsidRPr="00E52611" w:rsidRDefault="001931AB" w:rsidP="001931AB">
          <w:pPr>
            <w:pBdr>
              <w:top w:val="double" w:sz="4" w:space="1" w:color="auto"/>
              <w:bottom w:val="double" w:sz="4" w:space="1" w:color="auto"/>
            </w:pBdr>
            <w:jc w:val="center"/>
            <w:rPr>
              <w:rFonts w:cs="Courier New"/>
              <w:b/>
              <w:bCs/>
              <w:caps/>
              <w:sz w:val="28"/>
            </w:rPr>
          </w:pPr>
          <w:r w:rsidRPr="00E52611">
            <w:rPr>
              <w:rFonts w:cs="Courier New"/>
              <w:b/>
              <w:bCs/>
              <w:sz w:val="28"/>
            </w:rPr>
            <w:t xml:space="preserve">BRIEF FOR </w:t>
          </w:r>
          <w:r w:rsidR="00107F1C" w:rsidRPr="00E52611">
            <w:rPr>
              <w:rFonts w:cs="Courier New"/>
              <w:b/>
              <w:bCs/>
              <w:caps/>
              <w:sz w:val="28"/>
            </w:rPr>
            <w:t>PETITIONER</w:t>
          </w:r>
        </w:p>
        <w:p w:rsidR="001931AB" w:rsidRPr="00E52611" w:rsidRDefault="001931AB" w:rsidP="001931AB">
          <w:pPr>
            <w:pBdr>
              <w:top w:val="double" w:sz="4" w:space="1" w:color="auto"/>
              <w:bottom w:val="double" w:sz="4" w:space="1" w:color="auto"/>
            </w:pBdr>
            <w:jc w:val="center"/>
            <w:rPr>
              <w:rFonts w:cs="Courier New"/>
            </w:rPr>
          </w:pPr>
        </w:p>
        <w:p w:rsidR="001931AB" w:rsidRPr="00E52611" w:rsidRDefault="001931AB" w:rsidP="001931AB">
          <w:pPr>
            <w:jc w:val="center"/>
            <w:rPr>
              <w:rFonts w:cs="Courier New"/>
            </w:rPr>
          </w:pPr>
        </w:p>
        <w:p w:rsidR="001931AB" w:rsidRPr="00E52611" w:rsidRDefault="001931AB" w:rsidP="001931AB">
          <w:pPr>
            <w:rPr>
              <w:rFonts w:cs="Courier New"/>
            </w:rPr>
          </w:pPr>
        </w:p>
        <w:p w:rsidR="001931AB" w:rsidRPr="00E52611" w:rsidRDefault="001931AB" w:rsidP="001931AB">
          <w:pPr>
            <w:ind w:left="4140" w:firstLine="90"/>
            <w:rPr>
              <w:rFonts w:cs="Courier New"/>
              <w:sz w:val="22"/>
              <w:szCs w:val="22"/>
            </w:rPr>
          </w:pPr>
          <w:r w:rsidRPr="00E52611">
            <w:rPr>
              <w:rFonts w:cs="Courier New"/>
              <w:caps/>
              <w:sz w:val="22"/>
              <w:szCs w:val="22"/>
            </w:rPr>
            <w:t>Danielle Serbin</w:t>
          </w:r>
        </w:p>
        <w:p w:rsidR="001931AB" w:rsidRPr="00E52611" w:rsidRDefault="001931AB" w:rsidP="001931AB">
          <w:pPr>
            <w:ind w:left="4140" w:firstLine="90"/>
            <w:rPr>
              <w:rFonts w:cs="Courier New"/>
              <w:i/>
              <w:sz w:val="22"/>
              <w:szCs w:val="22"/>
            </w:rPr>
          </w:pPr>
          <w:r w:rsidRPr="00E52611">
            <w:rPr>
              <w:rFonts w:cs="Courier New"/>
              <w:i/>
              <w:sz w:val="22"/>
              <w:szCs w:val="22"/>
            </w:rPr>
            <w:t>Attorney</w:t>
          </w:r>
        </w:p>
        <w:p w:rsidR="001931AB" w:rsidRPr="00E52611" w:rsidRDefault="001931AB" w:rsidP="001931AB">
          <w:pPr>
            <w:ind w:left="4140" w:firstLine="90"/>
            <w:rPr>
              <w:rFonts w:cs="Courier New"/>
              <w:i/>
              <w:sz w:val="22"/>
              <w:szCs w:val="22"/>
            </w:rPr>
          </w:pPr>
          <w:r w:rsidRPr="00E52611">
            <w:rPr>
              <w:rFonts w:cs="Courier New"/>
              <w:i/>
              <w:sz w:val="22"/>
              <w:szCs w:val="22"/>
            </w:rPr>
            <w:t>Counsel of Record for Petitioner</w:t>
          </w:r>
        </w:p>
        <w:p w:rsidR="001931AB" w:rsidRPr="00E52611" w:rsidRDefault="001931AB" w:rsidP="001931AB">
          <w:pPr>
            <w:ind w:left="2880" w:firstLine="90"/>
            <w:rPr>
              <w:rFonts w:cs="Courier New"/>
              <w:sz w:val="22"/>
              <w:szCs w:val="22"/>
            </w:rPr>
          </w:pPr>
        </w:p>
        <w:p w:rsidR="001931AB" w:rsidRPr="00E52611" w:rsidRDefault="001931AB" w:rsidP="001931AB">
          <w:pPr>
            <w:ind w:left="4140" w:firstLine="90"/>
            <w:rPr>
              <w:rFonts w:cs="Courier New"/>
              <w:sz w:val="22"/>
              <w:szCs w:val="22"/>
            </w:rPr>
          </w:pPr>
          <w:r w:rsidRPr="00E52611">
            <w:rPr>
              <w:rFonts w:cs="Courier New"/>
              <w:sz w:val="22"/>
              <w:szCs w:val="22"/>
            </w:rPr>
            <w:t>University of California, Berkeley</w:t>
          </w:r>
        </w:p>
        <w:p w:rsidR="001931AB" w:rsidRPr="00E52611" w:rsidRDefault="001931AB" w:rsidP="001931AB">
          <w:pPr>
            <w:ind w:left="4140" w:firstLine="90"/>
            <w:rPr>
              <w:rFonts w:cs="Courier New"/>
              <w:sz w:val="22"/>
              <w:szCs w:val="22"/>
            </w:rPr>
          </w:pPr>
          <w:r w:rsidRPr="00E52611">
            <w:rPr>
              <w:rFonts w:cs="Courier New"/>
              <w:sz w:val="22"/>
              <w:szCs w:val="22"/>
            </w:rPr>
            <w:t>School of Law</w:t>
          </w:r>
        </w:p>
        <w:p w:rsidR="001931AB" w:rsidRPr="00E52611" w:rsidRDefault="001931AB" w:rsidP="001931AB">
          <w:pPr>
            <w:ind w:left="4140" w:firstLine="90"/>
            <w:rPr>
              <w:rFonts w:cs="Courier New"/>
              <w:sz w:val="22"/>
              <w:szCs w:val="22"/>
            </w:rPr>
          </w:pPr>
          <w:r w:rsidRPr="00E52611">
            <w:rPr>
              <w:rFonts w:cs="Courier New"/>
              <w:sz w:val="22"/>
              <w:szCs w:val="22"/>
            </w:rPr>
            <w:t>Berkeley, CA 94720</w:t>
          </w:r>
        </w:p>
        <w:p w:rsidR="001931AB" w:rsidRPr="00E52611" w:rsidRDefault="00D95A67" w:rsidP="001931AB">
          <w:pPr>
            <w:ind w:left="4140" w:firstLine="90"/>
            <w:rPr>
              <w:rFonts w:cs="Courier New"/>
              <w:sz w:val="22"/>
              <w:szCs w:val="22"/>
            </w:rPr>
          </w:pPr>
          <w:r w:rsidRPr="00E52611">
            <w:rPr>
              <w:rFonts w:cs="Courier New"/>
              <w:sz w:val="22"/>
              <w:szCs w:val="22"/>
            </w:rPr>
            <w:t>danielleserbin@</w:t>
          </w:r>
          <w:r w:rsidR="00107F1C" w:rsidRPr="00E52611">
            <w:rPr>
              <w:rFonts w:cs="Courier New"/>
              <w:sz w:val="22"/>
              <w:szCs w:val="22"/>
            </w:rPr>
            <w:t>berkeley.edu</w:t>
          </w:r>
        </w:p>
        <w:p w:rsidR="001931AB" w:rsidRPr="00E52611" w:rsidRDefault="00D95A67" w:rsidP="001931AB">
          <w:pPr>
            <w:ind w:left="4140" w:firstLine="90"/>
            <w:rPr>
              <w:b/>
              <w:sz w:val="22"/>
              <w:szCs w:val="22"/>
              <w:u w:val="single"/>
            </w:rPr>
          </w:pPr>
          <w:r w:rsidRPr="00E52611">
            <w:rPr>
              <w:rFonts w:cs="Courier New"/>
              <w:sz w:val="22"/>
              <w:szCs w:val="22"/>
            </w:rPr>
            <w:t>949-636-8878</w:t>
          </w:r>
        </w:p>
        <w:p w:rsidR="00E82A67" w:rsidRPr="00E52611" w:rsidRDefault="00E82A67" w:rsidP="00CA2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52611">
            <w:br w:type="page"/>
          </w:r>
        </w:p>
      </w:sdtContent>
    </w:sdt>
    <w:p w:rsidR="00DE66DA" w:rsidRPr="00E52611" w:rsidRDefault="00DE66DA" w:rsidP="0014009F">
      <w:pPr>
        <w:jc w:val="center"/>
        <w:rPr>
          <w:b/>
        </w:rPr>
        <w:sectPr w:rsidR="00DE66DA" w:rsidRPr="00E52611" w:rsidSect="00FF6F5A">
          <w:footerReference w:type="even" r:id="rId9"/>
          <w:footerReference w:type="default" r:id="rId10"/>
          <w:footerReference w:type="first" r:id="rId11"/>
          <w:pgSz w:w="12240" w:h="15840"/>
          <w:pgMar w:top="1440" w:right="1800" w:bottom="1440" w:left="1800" w:header="720" w:footer="720" w:gutter="0"/>
          <w:pgNumType w:fmt="lowerRoman"/>
          <w:cols w:space="720"/>
          <w:titlePg/>
          <w:docGrid w:linePitch="360"/>
        </w:sectPr>
      </w:pPr>
    </w:p>
    <w:p w:rsidR="00F7259B" w:rsidRPr="00E52611" w:rsidRDefault="00AD78FF" w:rsidP="0014009F">
      <w:pPr>
        <w:jc w:val="center"/>
        <w:rPr>
          <w:b/>
        </w:rPr>
      </w:pPr>
      <w:r w:rsidRPr="00E52611">
        <w:rPr>
          <w:b/>
        </w:rPr>
        <w:lastRenderedPageBreak/>
        <w:t>Question Presented</w:t>
      </w:r>
    </w:p>
    <w:p w:rsidR="00E82A67" w:rsidRPr="00E52611" w:rsidRDefault="00E82A67" w:rsidP="0014009F">
      <w:pPr>
        <w:jc w:val="center"/>
      </w:pPr>
    </w:p>
    <w:p w:rsidR="00E82A67" w:rsidRPr="00E52611" w:rsidRDefault="00CE04E9" w:rsidP="003329AD">
      <w:pPr>
        <w:spacing w:line="480" w:lineRule="auto"/>
      </w:pPr>
      <w:r w:rsidRPr="00E52611">
        <w:t>Does</w:t>
      </w:r>
      <w:r w:rsidR="00E82A67" w:rsidRPr="00E52611">
        <w:t xml:space="preserve"> a congressional ban on federal funds and contracting to one specific, named corporation and all of its subsidiaries, affiliates, and undefined “allied corporations” </w:t>
      </w:r>
      <w:r w:rsidR="00A13670" w:rsidRPr="00E52611">
        <w:t xml:space="preserve">constitute </w:t>
      </w:r>
      <w:r w:rsidR="0008237E" w:rsidRPr="00E52611">
        <w:t>a bill of a</w:t>
      </w:r>
      <w:r w:rsidR="00E82A67" w:rsidRPr="00E52611">
        <w:t>ttainder</w:t>
      </w:r>
      <w:r w:rsidR="002A46F3" w:rsidRPr="00E52611">
        <w:t>.</w:t>
      </w:r>
    </w:p>
    <w:p w:rsidR="00E82A67" w:rsidRPr="00E52611" w:rsidRDefault="00E82A67" w:rsidP="0014009F">
      <w:pPr>
        <w:jc w:val="center"/>
      </w:pPr>
    </w:p>
    <w:p w:rsidR="00CA29F4" w:rsidRPr="00E52611" w:rsidRDefault="00CA29F4" w:rsidP="00FE268F">
      <w:pPr>
        <w:rPr>
          <w:b/>
        </w:rPr>
      </w:pPr>
    </w:p>
    <w:p w:rsidR="00BB0793" w:rsidRPr="00E52611" w:rsidRDefault="00BB0793" w:rsidP="000A311C">
      <w:pPr>
        <w:jc w:val="center"/>
        <w:rPr>
          <w:b/>
        </w:rPr>
      </w:pPr>
    </w:p>
    <w:p w:rsidR="00FE2365" w:rsidRPr="00E52611" w:rsidRDefault="00FE2365">
      <w:pPr>
        <w:rPr>
          <w:b/>
          <w:u w:val="single"/>
        </w:rPr>
      </w:pPr>
      <w:r w:rsidRPr="00E52611">
        <w:rPr>
          <w:b/>
          <w:u w:val="single"/>
        </w:rPr>
        <w:br w:type="page"/>
      </w:r>
    </w:p>
    <w:p w:rsidR="00AD78FF" w:rsidRPr="00E52611" w:rsidRDefault="00BA59D0" w:rsidP="000A311C">
      <w:pPr>
        <w:jc w:val="center"/>
        <w:rPr>
          <w:b/>
          <w:u w:val="single"/>
        </w:rPr>
      </w:pPr>
      <w:r w:rsidRPr="00E52611">
        <w:rPr>
          <w:b/>
          <w:u w:val="single"/>
        </w:rPr>
        <w:lastRenderedPageBreak/>
        <w:t>TABLE OF CONTENTS</w:t>
      </w:r>
    </w:p>
    <w:p w:rsidR="000B282C" w:rsidRPr="00E52611" w:rsidRDefault="000B282C" w:rsidP="000B282C">
      <w:pPr>
        <w:pStyle w:val="Heading1"/>
      </w:pPr>
    </w:p>
    <w:p w:rsidR="00DD1A52" w:rsidRPr="00E52611" w:rsidRDefault="00DD1A52" w:rsidP="000B282C">
      <w:pPr>
        <w:pStyle w:val="Heading1"/>
      </w:pPr>
      <w:r w:rsidRPr="00E52611">
        <w:t>TABLE OF AUTHORITIES</w:t>
      </w:r>
      <w:r w:rsidRPr="00E52611">
        <w:rPr>
          <w:b w:val="0"/>
        </w:rPr>
        <w:t>………………….………………….……</w:t>
      </w:r>
      <w:r w:rsidR="00BF3654">
        <w:rPr>
          <w:b w:val="0"/>
        </w:rPr>
        <w:t>…………..</w:t>
      </w:r>
      <w:r w:rsidRPr="00E52611">
        <w:rPr>
          <w:b w:val="0"/>
        </w:rPr>
        <w:t>…</w:t>
      </w:r>
      <w:r w:rsidR="00A77767" w:rsidRPr="00E52611">
        <w:rPr>
          <w:b w:val="0"/>
        </w:rPr>
        <w:t>..</w:t>
      </w:r>
      <w:r w:rsidRPr="00E52611">
        <w:rPr>
          <w:b w:val="0"/>
        </w:rPr>
        <w:t>…………</w:t>
      </w:r>
      <w:r w:rsidR="00A77767" w:rsidRPr="00E52611">
        <w:rPr>
          <w:b w:val="0"/>
        </w:rPr>
        <w:t>iv</w:t>
      </w:r>
    </w:p>
    <w:p w:rsidR="00DD1A52" w:rsidRPr="00E52611" w:rsidRDefault="00DD1A52" w:rsidP="000B282C">
      <w:pPr>
        <w:pStyle w:val="Heading1"/>
      </w:pPr>
    </w:p>
    <w:p w:rsidR="000B282C" w:rsidRPr="00E52611" w:rsidRDefault="000B282C" w:rsidP="000B282C">
      <w:pPr>
        <w:pStyle w:val="Heading1"/>
        <w:rPr>
          <w:sz w:val="22"/>
          <w:szCs w:val="22"/>
        </w:rPr>
      </w:pPr>
      <w:r w:rsidRPr="00E52611">
        <w:t>STATE</w:t>
      </w:r>
      <w:r w:rsidR="008859A3" w:rsidRPr="00E52611">
        <w:t>MENT OF FACTS AND PROCEDURE BELOW</w:t>
      </w:r>
      <w:r w:rsidR="003F186C" w:rsidRPr="00E52611">
        <w:rPr>
          <w:b w:val="0"/>
        </w:rPr>
        <w:t>…………</w:t>
      </w:r>
      <w:r w:rsidR="00A222D0" w:rsidRPr="00E52611">
        <w:rPr>
          <w:b w:val="0"/>
        </w:rPr>
        <w:t>…</w:t>
      </w:r>
      <w:r w:rsidR="00BF3654">
        <w:rPr>
          <w:b w:val="0"/>
        </w:rPr>
        <w:t>……………………………………………</w:t>
      </w:r>
      <w:r w:rsidR="00A222D0" w:rsidRPr="00E52611">
        <w:rPr>
          <w:b w:val="0"/>
        </w:rPr>
        <w:t>…</w:t>
      </w:r>
      <w:r w:rsidR="00BF3654">
        <w:rPr>
          <w:b w:val="0"/>
        </w:rPr>
        <w:t>…………..</w:t>
      </w:r>
      <w:r w:rsidR="003F186C" w:rsidRPr="00E52611">
        <w:rPr>
          <w:b w:val="0"/>
        </w:rPr>
        <w:t>…</w:t>
      </w:r>
      <w:r w:rsidR="00A222D0" w:rsidRPr="00E52611">
        <w:rPr>
          <w:b w:val="0"/>
        </w:rPr>
        <w:t>...</w:t>
      </w:r>
      <w:r w:rsidR="003F186C" w:rsidRPr="00E52611">
        <w:rPr>
          <w:b w:val="0"/>
        </w:rPr>
        <w:t>…..</w:t>
      </w:r>
      <w:r w:rsidR="00A222D0" w:rsidRPr="00E52611">
        <w:rPr>
          <w:b w:val="0"/>
        </w:rPr>
        <w:t>1</w:t>
      </w:r>
    </w:p>
    <w:p w:rsidR="00F37648" w:rsidRPr="00E52611" w:rsidRDefault="00F37648" w:rsidP="00F37648"/>
    <w:p w:rsidR="000B282C" w:rsidRPr="00E52611" w:rsidRDefault="000B282C" w:rsidP="000B282C">
      <w:pPr>
        <w:pStyle w:val="Heading1"/>
      </w:pPr>
      <w:r w:rsidRPr="00E52611">
        <w:t>SUMMARY OF ARGUMENT</w:t>
      </w:r>
      <w:r w:rsidR="008859A3" w:rsidRPr="00E52611">
        <w:rPr>
          <w:b w:val="0"/>
        </w:rPr>
        <w:t>………………….…………………</w:t>
      </w:r>
      <w:r w:rsidR="00BF3654">
        <w:rPr>
          <w:b w:val="0"/>
        </w:rPr>
        <w:t>………………...</w:t>
      </w:r>
      <w:r w:rsidR="008859A3" w:rsidRPr="00E52611">
        <w:rPr>
          <w:b w:val="0"/>
        </w:rPr>
        <w:t>.…………</w:t>
      </w:r>
      <w:r w:rsidR="00A222D0" w:rsidRPr="00E52611">
        <w:rPr>
          <w:b w:val="0"/>
        </w:rPr>
        <w:t>...</w:t>
      </w:r>
      <w:r w:rsidR="008859A3" w:rsidRPr="00E52611">
        <w:rPr>
          <w:b w:val="0"/>
        </w:rPr>
        <w:t>…….</w:t>
      </w:r>
      <w:r w:rsidR="00A222D0" w:rsidRPr="00E52611">
        <w:rPr>
          <w:b w:val="0"/>
        </w:rPr>
        <w:t>8</w:t>
      </w:r>
    </w:p>
    <w:p w:rsidR="00F37648" w:rsidRPr="00E52611" w:rsidRDefault="00F37648" w:rsidP="00F37648"/>
    <w:p w:rsidR="000B282C" w:rsidRPr="00E52611" w:rsidRDefault="000B282C" w:rsidP="000B282C">
      <w:pPr>
        <w:pStyle w:val="Heading1"/>
      </w:pPr>
      <w:r w:rsidRPr="00E52611">
        <w:t>ARGUMENT</w:t>
      </w:r>
      <w:r w:rsidR="00A222D0" w:rsidRPr="00E52611">
        <w:rPr>
          <w:b w:val="0"/>
        </w:rPr>
        <w:t>…</w:t>
      </w:r>
      <w:r w:rsidR="00BF3654">
        <w:rPr>
          <w:b w:val="0"/>
        </w:rPr>
        <w:t>……………….………………….………………….………………</w:t>
      </w:r>
      <w:r w:rsidR="00A222D0" w:rsidRPr="00E52611">
        <w:rPr>
          <w:b w:val="0"/>
        </w:rPr>
        <w:t>11</w:t>
      </w:r>
    </w:p>
    <w:p w:rsidR="00F37648" w:rsidRPr="00E52611" w:rsidRDefault="00F37648" w:rsidP="00F37648"/>
    <w:p w:rsidR="000B282C" w:rsidRPr="00E52611" w:rsidRDefault="000B282C" w:rsidP="001E3504">
      <w:pPr>
        <w:pStyle w:val="Heading2"/>
        <w:numPr>
          <w:ilvl w:val="0"/>
          <w:numId w:val="1"/>
        </w:numPr>
        <w:ind w:left="720"/>
      </w:pPr>
      <w:r w:rsidRPr="00E52611">
        <w:t>The Prohibition Against Bills of Attainder Applies Equally to Individuals and Corporations</w:t>
      </w:r>
      <w:r w:rsidR="008859A3" w:rsidRPr="00E52611">
        <w:rPr>
          <w:b w:val="0"/>
        </w:rPr>
        <w:t>………………….…………………</w:t>
      </w:r>
      <w:r w:rsidR="00BF3654">
        <w:rPr>
          <w:b w:val="0"/>
        </w:rPr>
        <w:t>………</w:t>
      </w:r>
      <w:r w:rsidR="00446910">
        <w:rPr>
          <w:b w:val="0"/>
        </w:rPr>
        <w:t>.</w:t>
      </w:r>
      <w:r w:rsidR="00BF3654">
        <w:rPr>
          <w:b w:val="0"/>
        </w:rPr>
        <w:t>……….</w:t>
      </w:r>
      <w:r w:rsidR="00A222D0" w:rsidRPr="00E52611">
        <w:rPr>
          <w:b w:val="0"/>
        </w:rPr>
        <w:t>……..</w:t>
      </w:r>
      <w:r w:rsidR="008859A3" w:rsidRPr="00E52611">
        <w:rPr>
          <w:b w:val="0"/>
        </w:rPr>
        <w:t>.…</w:t>
      </w:r>
      <w:r w:rsidR="00A222D0" w:rsidRPr="00E52611">
        <w:rPr>
          <w:b w:val="0"/>
        </w:rPr>
        <w:t>12</w:t>
      </w:r>
    </w:p>
    <w:p w:rsidR="00F37648" w:rsidRPr="00E52611" w:rsidRDefault="00F37648" w:rsidP="00F37648"/>
    <w:p w:rsidR="000B282C" w:rsidRPr="00E52611" w:rsidRDefault="000B282C" w:rsidP="001E3504">
      <w:pPr>
        <w:pStyle w:val="Heading3"/>
        <w:numPr>
          <w:ilvl w:val="0"/>
          <w:numId w:val="2"/>
        </w:numPr>
        <w:ind w:left="1350" w:hanging="630"/>
      </w:pPr>
      <w:r w:rsidRPr="00E52611">
        <w:t>This Court has Indicated that the Attainder Clauses Apply to Corporations and All Lower Courts Addressing the Issue have Held or Assumed that the</w:t>
      </w:r>
      <w:r w:rsidR="008859A3" w:rsidRPr="00E52611">
        <w:t xml:space="preserve"> Clause Applies to Corporations</w:t>
      </w:r>
      <w:r w:rsidR="008859A3" w:rsidRPr="00E52611">
        <w:rPr>
          <w:b w:val="0"/>
        </w:rPr>
        <w:t>………………….…………</w:t>
      </w:r>
      <w:r w:rsidR="00A222D0" w:rsidRPr="00E52611">
        <w:rPr>
          <w:b w:val="0"/>
        </w:rPr>
        <w:t>………………..</w:t>
      </w:r>
      <w:r w:rsidR="00BF3654">
        <w:rPr>
          <w:b w:val="0"/>
        </w:rPr>
        <w:t>……….…</w:t>
      </w:r>
      <w:r w:rsidR="00A222D0" w:rsidRPr="00E52611">
        <w:rPr>
          <w:b w:val="0"/>
        </w:rPr>
        <w:t>13</w:t>
      </w:r>
    </w:p>
    <w:p w:rsidR="00F37648" w:rsidRPr="00E52611" w:rsidRDefault="00F37648" w:rsidP="00F37648"/>
    <w:p w:rsidR="000B282C" w:rsidRPr="00E52611" w:rsidRDefault="000B282C" w:rsidP="001E3504">
      <w:pPr>
        <w:pStyle w:val="Heading3"/>
        <w:numPr>
          <w:ilvl w:val="0"/>
          <w:numId w:val="2"/>
        </w:numPr>
        <w:ind w:left="1350" w:hanging="630"/>
        <w:rPr>
          <w:lang w:eastAsia="en-US"/>
        </w:rPr>
      </w:pPr>
      <w:r w:rsidRPr="00E52611">
        <w:rPr>
          <w:lang w:eastAsia="en-US"/>
        </w:rPr>
        <w:t>The History and Purpose behind the Bill of Attainder Clauses Support Applyi</w:t>
      </w:r>
      <w:r w:rsidR="008859A3" w:rsidRPr="00E52611">
        <w:rPr>
          <w:lang w:eastAsia="en-US"/>
        </w:rPr>
        <w:t>ng the Clauses to Corporations</w:t>
      </w:r>
      <w:r w:rsidR="008859A3" w:rsidRPr="00E52611">
        <w:rPr>
          <w:b w:val="0"/>
          <w:lang w:eastAsia="en-US"/>
        </w:rPr>
        <w:t>….</w:t>
      </w:r>
      <w:r w:rsidR="00BF3654">
        <w:rPr>
          <w:b w:val="0"/>
        </w:rPr>
        <w:t>………………….……………………..……………</w:t>
      </w:r>
      <w:r w:rsidR="00A222D0" w:rsidRPr="00E52611">
        <w:rPr>
          <w:b w:val="0"/>
        </w:rPr>
        <w:t>13</w:t>
      </w:r>
    </w:p>
    <w:p w:rsidR="00F37648" w:rsidRPr="00E52611" w:rsidRDefault="00F37648" w:rsidP="00F37648">
      <w:pPr>
        <w:rPr>
          <w:lang w:eastAsia="en-US"/>
        </w:rPr>
      </w:pPr>
    </w:p>
    <w:p w:rsidR="000B282C" w:rsidRPr="00E52611" w:rsidRDefault="000B282C" w:rsidP="001E3504">
      <w:pPr>
        <w:pStyle w:val="Heading2"/>
        <w:numPr>
          <w:ilvl w:val="0"/>
          <w:numId w:val="1"/>
        </w:numPr>
        <w:ind w:left="720"/>
      </w:pPr>
      <w:r w:rsidRPr="00E52611">
        <w:t>The Appropriations Laws Are Un</w:t>
      </w:r>
      <w:r w:rsidR="00E437C9" w:rsidRPr="00E52611">
        <w:t>constitutional</w:t>
      </w:r>
      <w:r w:rsidR="008859A3" w:rsidRPr="00E52611">
        <w:t xml:space="preserve"> Bills of Attainder</w:t>
      </w:r>
      <w:r w:rsidR="00A222D0" w:rsidRPr="00E52611">
        <w:rPr>
          <w:b w:val="0"/>
        </w:rPr>
        <w:t>…………………………………….…</w:t>
      </w:r>
      <w:r w:rsidR="00BF3654">
        <w:rPr>
          <w:b w:val="0"/>
        </w:rPr>
        <w:t>…….………….………..…</w:t>
      </w:r>
      <w:r w:rsidR="00A222D0" w:rsidRPr="00E52611">
        <w:rPr>
          <w:b w:val="0"/>
        </w:rPr>
        <w:t>15</w:t>
      </w:r>
    </w:p>
    <w:p w:rsidR="00F37648" w:rsidRPr="00E52611" w:rsidRDefault="00F37648" w:rsidP="00F37648"/>
    <w:p w:rsidR="000B282C" w:rsidRPr="00E52611" w:rsidRDefault="000B282C" w:rsidP="001E3504">
      <w:pPr>
        <w:pStyle w:val="Heading2"/>
        <w:numPr>
          <w:ilvl w:val="0"/>
          <w:numId w:val="3"/>
        </w:numPr>
        <w:ind w:hanging="720"/>
      </w:pPr>
      <w:r w:rsidRPr="00E52611">
        <w:t>The Appropriations Laws Amount to Punis</w:t>
      </w:r>
      <w:r w:rsidR="008859A3" w:rsidRPr="00E52611">
        <w:t>hment under the Historical Test</w:t>
      </w:r>
      <w:r w:rsidR="008859A3" w:rsidRPr="00E52611">
        <w:rPr>
          <w:b w:val="0"/>
        </w:rPr>
        <w:t>………………….………………</w:t>
      </w:r>
      <w:r w:rsidR="00A222D0" w:rsidRPr="00E52611">
        <w:rPr>
          <w:b w:val="0"/>
        </w:rPr>
        <w:t>……</w:t>
      </w:r>
      <w:r w:rsidR="00BF3654">
        <w:rPr>
          <w:b w:val="0"/>
        </w:rPr>
        <w:t>…………...</w:t>
      </w:r>
      <w:r w:rsidR="00A222D0" w:rsidRPr="00E52611">
        <w:rPr>
          <w:b w:val="0"/>
        </w:rPr>
        <w:t>………</w:t>
      </w:r>
      <w:r w:rsidR="00446910">
        <w:rPr>
          <w:b w:val="0"/>
        </w:rPr>
        <w:t>…..</w:t>
      </w:r>
      <w:r w:rsidR="008859A3" w:rsidRPr="00E52611">
        <w:rPr>
          <w:b w:val="0"/>
        </w:rPr>
        <w:t>…...</w:t>
      </w:r>
      <w:r w:rsidR="00A222D0" w:rsidRPr="00E52611">
        <w:rPr>
          <w:b w:val="0"/>
        </w:rPr>
        <w:t>15</w:t>
      </w:r>
    </w:p>
    <w:p w:rsidR="00F37648" w:rsidRPr="00E52611" w:rsidRDefault="00F37648" w:rsidP="00F37648"/>
    <w:p w:rsidR="000B282C" w:rsidRPr="00E52611" w:rsidRDefault="000B282C" w:rsidP="001E3504">
      <w:pPr>
        <w:pStyle w:val="Heading4"/>
        <w:numPr>
          <w:ilvl w:val="0"/>
          <w:numId w:val="4"/>
        </w:numPr>
        <w:tabs>
          <w:tab w:val="left" w:pos="2070"/>
        </w:tabs>
        <w:ind w:left="2070" w:hanging="630"/>
        <w:rPr>
          <w:i w:val="0"/>
          <w:u w:val="single"/>
        </w:rPr>
      </w:pPr>
      <w:r w:rsidRPr="00E52611">
        <w:rPr>
          <w:i w:val="0"/>
          <w:u w:val="single"/>
        </w:rPr>
        <w:t>The Appropriations Laws Punish ACORN and Its Affiliates for Exe</w:t>
      </w:r>
      <w:r w:rsidR="008859A3" w:rsidRPr="00E52611">
        <w:rPr>
          <w:i w:val="0"/>
          <w:u w:val="single"/>
        </w:rPr>
        <w:t>rcising their Political Liberty</w:t>
      </w:r>
      <w:r w:rsidR="008859A3" w:rsidRPr="00E52611">
        <w:rPr>
          <w:i w:val="0"/>
        </w:rPr>
        <w:t>………………….………………….…………………</w:t>
      </w:r>
      <w:r w:rsidR="00A222D0" w:rsidRPr="00E52611">
        <w:rPr>
          <w:i w:val="0"/>
        </w:rPr>
        <w:t>…</w:t>
      </w:r>
      <w:r w:rsidR="008859A3" w:rsidRPr="00E52611">
        <w:rPr>
          <w:i w:val="0"/>
        </w:rPr>
        <w:t>.</w:t>
      </w:r>
      <w:r w:rsidR="00A222D0" w:rsidRPr="00E52611">
        <w:rPr>
          <w:i w:val="0"/>
        </w:rPr>
        <w:t>17</w:t>
      </w:r>
    </w:p>
    <w:p w:rsidR="00F37648" w:rsidRPr="00E52611" w:rsidRDefault="00F37648" w:rsidP="00F37648"/>
    <w:p w:rsidR="000B282C" w:rsidRPr="00E52611" w:rsidRDefault="000B282C" w:rsidP="001E3504">
      <w:pPr>
        <w:pStyle w:val="Heading4"/>
        <w:numPr>
          <w:ilvl w:val="0"/>
          <w:numId w:val="4"/>
        </w:numPr>
        <w:tabs>
          <w:tab w:val="left" w:pos="2160"/>
        </w:tabs>
        <w:ind w:left="2160" w:hanging="720"/>
        <w:rPr>
          <w:i w:val="0"/>
          <w:u w:val="single"/>
        </w:rPr>
      </w:pPr>
      <w:r w:rsidRPr="00E52611">
        <w:rPr>
          <w:i w:val="0"/>
          <w:u w:val="single"/>
        </w:rPr>
        <w:t>The Provisions M</w:t>
      </w:r>
      <w:r w:rsidR="008859A3" w:rsidRPr="00E52611">
        <w:rPr>
          <w:i w:val="0"/>
          <w:u w:val="single"/>
        </w:rPr>
        <w:t>ark ACORN with a Note of Infamy</w:t>
      </w:r>
      <w:r w:rsidR="008859A3" w:rsidRPr="00E52611">
        <w:rPr>
          <w:i w:val="0"/>
        </w:rPr>
        <w:t>………………….………………….……………</w:t>
      </w:r>
      <w:r w:rsidR="00A222D0" w:rsidRPr="00E52611">
        <w:rPr>
          <w:i w:val="0"/>
        </w:rPr>
        <w:t>..</w:t>
      </w:r>
      <w:r w:rsidR="008859A3" w:rsidRPr="00E52611">
        <w:rPr>
          <w:i w:val="0"/>
        </w:rPr>
        <w:t>…….</w:t>
      </w:r>
      <w:r w:rsidR="00A222D0" w:rsidRPr="00E52611">
        <w:rPr>
          <w:i w:val="0"/>
        </w:rPr>
        <w:t>19</w:t>
      </w:r>
    </w:p>
    <w:p w:rsidR="00F37648" w:rsidRPr="00E52611" w:rsidRDefault="00F37648" w:rsidP="00F37648"/>
    <w:p w:rsidR="000B282C" w:rsidRPr="00E52611" w:rsidRDefault="000B282C" w:rsidP="001E3504">
      <w:pPr>
        <w:pStyle w:val="Heading3"/>
        <w:numPr>
          <w:ilvl w:val="0"/>
          <w:numId w:val="4"/>
        </w:numPr>
        <w:ind w:left="2160" w:hanging="720"/>
        <w:rPr>
          <w:b w:val="0"/>
          <w:u w:val="single"/>
        </w:rPr>
      </w:pPr>
      <w:r w:rsidRPr="00E52611">
        <w:rPr>
          <w:b w:val="0"/>
          <w:u w:val="single"/>
        </w:rPr>
        <w:t>The Appropriations Laws Effectively Prevent ACORN from Performing its Lawful Vocation–Providing Housing Services to Low Income Americans</w:t>
      </w:r>
      <w:r w:rsidR="00A222D0" w:rsidRPr="00E52611">
        <w:rPr>
          <w:b w:val="0"/>
        </w:rPr>
        <w:t>…………………...</w:t>
      </w:r>
      <w:r w:rsidR="008859A3" w:rsidRPr="00E52611">
        <w:rPr>
          <w:b w:val="0"/>
        </w:rPr>
        <w:t>…...</w:t>
      </w:r>
      <w:r w:rsidR="00A222D0" w:rsidRPr="00E52611">
        <w:rPr>
          <w:b w:val="0"/>
        </w:rPr>
        <w:t>23</w:t>
      </w:r>
    </w:p>
    <w:p w:rsidR="00F37648" w:rsidRPr="00E52611" w:rsidRDefault="00F37648" w:rsidP="00F37648"/>
    <w:p w:rsidR="000B282C" w:rsidRPr="00E52611" w:rsidRDefault="000B282C" w:rsidP="000B282C">
      <w:pPr>
        <w:pStyle w:val="Heading4"/>
        <w:tabs>
          <w:tab w:val="left" w:pos="1620"/>
          <w:tab w:val="left" w:pos="2160"/>
        </w:tabs>
        <w:ind w:hanging="720"/>
        <w:rPr>
          <w:i w:val="0"/>
          <w:u w:val="single"/>
        </w:rPr>
      </w:pPr>
      <w:r w:rsidRPr="00E52611">
        <w:rPr>
          <w:i w:val="0"/>
        </w:rPr>
        <w:lastRenderedPageBreak/>
        <w:t xml:space="preserve">4. </w:t>
      </w:r>
      <w:r w:rsidRPr="00E52611">
        <w:rPr>
          <w:i w:val="0"/>
        </w:rPr>
        <w:tab/>
      </w:r>
      <w:r w:rsidRPr="00E52611">
        <w:rPr>
          <w:i w:val="0"/>
          <w:u w:val="single"/>
        </w:rPr>
        <w:t>Delivery of Punishment through Appropriati</w:t>
      </w:r>
      <w:r w:rsidR="008859A3" w:rsidRPr="00E52611">
        <w:rPr>
          <w:i w:val="0"/>
          <w:u w:val="single"/>
        </w:rPr>
        <w:t>ons Laws Constitutes Punishment</w:t>
      </w:r>
      <w:r w:rsidR="008859A3" w:rsidRPr="00E52611">
        <w:rPr>
          <w:i w:val="0"/>
        </w:rPr>
        <w:t>………………….………………….</w:t>
      </w:r>
      <w:r w:rsidR="00A222D0" w:rsidRPr="00E52611">
        <w:rPr>
          <w:i w:val="0"/>
        </w:rPr>
        <w:t>26</w:t>
      </w:r>
    </w:p>
    <w:p w:rsidR="00F37648" w:rsidRPr="00E52611" w:rsidRDefault="00F37648" w:rsidP="00F37648"/>
    <w:p w:rsidR="000B282C" w:rsidRPr="00E52611" w:rsidRDefault="000B282C" w:rsidP="001E3504">
      <w:pPr>
        <w:pStyle w:val="Heading3"/>
        <w:numPr>
          <w:ilvl w:val="0"/>
          <w:numId w:val="3"/>
        </w:numPr>
        <w:ind w:hanging="720"/>
      </w:pPr>
      <w:r w:rsidRPr="00E52611">
        <w:t>The Appropriations Laws Punish ACORN and Its Affiliates under the Functional Test</w:t>
      </w:r>
      <w:r w:rsidR="008859A3" w:rsidRPr="00E52611">
        <w:rPr>
          <w:b w:val="0"/>
        </w:rPr>
        <w:t>………………….……</w:t>
      </w:r>
      <w:r w:rsidR="00A222D0" w:rsidRPr="00E52611">
        <w:rPr>
          <w:b w:val="0"/>
        </w:rPr>
        <w:t>…………</w:t>
      </w:r>
      <w:r w:rsidR="00182970">
        <w:rPr>
          <w:b w:val="0"/>
        </w:rPr>
        <w:t>………………………...</w:t>
      </w:r>
      <w:r w:rsidR="00A222D0" w:rsidRPr="00E52611">
        <w:rPr>
          <w:b w:val="0"/>
        </w:rPr>
        <w:t>…….</w:t>
      </w:r>
      <w:r w:rsidR="008859A3" w:rsidRPr="00E52611">
        <w:rPr>
          <w:b w:val="0"/>
        </w:rPr>
        <w:t>…</w:t>
      </w:r>
      <w:r w:rsidR="00A222D0" w:rsidRPr="00E52611">
        <w:rPr>
          <w:b w:val="0"/>
        </w:rPr>
        <w:t>27</w:t>
      </w:r>
    </w:p>
    <w:p w:rsidR="00F37648" w:rsidRPr="00E52611" w:rsidRDefault="00F37648" w:rsidP="00F37648"/>
    <w:p w:rsidR="000B282C" w:rsidRPr="00E52611" w:rsidRDefault="000B282C" w:rsidP="001E3504">
      <w:pPr>
        <w:pStyle w:val="Heading4"/>
        <w:numPr>
          <w:ilvl w:val="0"/>
          <w:numId w:val="6"/>
        </w:numPr>
        <w:ind w:left="2160" w:hanging="720"/>
      </w:pPr>
      <w:r w:rsidRPr="00E52611">
        <w:rPr>
          <w:i w:val="0"/>
          <w:u w:val="single"/>
        </w:rPr>
        <w:t>The Appropriations Laws Create an Inescapable Bar to Federal Funding in Fiscal Year 2010</w:t>
      </w:r>
      <w:r w:rsidR="008859A3" w:rsidRPr="00E52611">
        <w:rPr>
          <w:i w:val="0"/>
        </w:rPr>
        <w:t>………………</w:t>
      </w:r>
      <w:r w:rsidR="00A222D0" w:rsidRPr="00E52611">
        <w:rPr>
          <w:i w:val="0"/>
        </w:rPr>
        <w:t>.</w:t>
      </w:r>
      <w:r w:rsidR="008859A3" w:rsidRPr="00E52611">
        <w:rPr>
          <w:i w:val="0"/>
        </w:rPr>
        <w:t>….….</w:t>
      </w:r>
      <w:r w:rsidR="00A222D0" w:rsidRPr="00E52611">
        <w:rPr>
          <w:i w:val="0"/>
        </w:rPr>
        <w:t>27</w:t>
      </w:r>
    </w:p>
    <w:p w:rsidR="00F37648" w:rsidRPr="00E52611" w:rsidRDefault="00F37648" w:rsidP="00F37648"/>
    <w:p w:rsidR="000B282C" w:rsidRPr="00182970" w:rsidRDefault="000B282C" w:rsidP="001E3504">
      <w:pPr>
        <w:pStyle w:val="Heading3"/>
        <w:numPr>
          <w:ilvl w:val="0"/>
          <w:numId w:val="6"/>
        </w:numPr>
        <w:ind w:left="2160" w:hanging="720"/>
        <w:rPr>
          <w:b w:val="0"/>
          <w:u w:val="single"/>
        </w:rPr>
      </w:pPr>
      <w:r w:rsidRPr="00182970">
        <w:rPr>
          <w:b w:val="0"/>
          <w:u w:val="single"/>
        </w:rPr>
        <w:t>The Appropriations Laws</w:t>
      </w:r>
      <w:r w:rsidR="00E40C44" w:rsidRPr="00182970">
        <w:rPr>
          <w:b w:val="0"/>
          <w:u w:val="single"/>
        </w:rPr>
        <w:t>’</w:t>
      </w:r>
      <w:r w:rsidRPr="00182970">
        <w:rPr>
          <w:b w:val="0"/>
          <w:u w:val="single"/>
        </w:rPr>
        <w:t xml:space="preserve"> Means are Unrelated to Congress’ Purported Goal of Protecting Taxpayer Dollars</w:t>
      </w:r>
      <w:r w:rsidR="008859A3" w:rsidRPr="00182970">
        <w:rPr>
          <w:b w:val="0"/>
        </w:rPr>
        <w:t>………………….………………….………………</w:t>
      </w:r>
      <w:r w:rsidR="00A222D0" w:rsidRPr="00182970">
        <w:rPr>
          <w:b w:val="0"/>
        </w:rPr>
        <w:t>…..</w:t>
      </w:r>
      <w:r w:rsidR="008859A3" w:rsidRPr="00182970">
        <w:rPr>
          <w:b w:val="0"/>
        </w:rPr>
        <w:t>.</w:t>
      </w:r>
      <w:r w:rsidR="00A222D0" w:rsidRPr="00182970">
        <w:rPr>
          <w:b w:val="0"/>
        </w:rPr>
        <w:t>31</w:t>
      </w:r>
    </w:p>
    <w:p w:rsidR="00F37648" w:rsidRPr="00E52611" w:rsidRDefault="00F37648" w:rsidP="00F37648"/>
    <w:p w:rsidR="000B282C" w:rsidRPr="00E52611" w:rsidRDefault="000B282C" w:rsidP="001E3504">
      <w:pPr>
        <w:pStyle w:val="Heading3"/>
        <w:numPr>
          <w:ilvl w:val="0"/>
          <w:numId w:val="3"/>
        </w:numPr>
        <w:ind w:hanging="720"/>
      </w:pPr>
      <w:r w:rsidRPr="00E52611">
        <w:t>The Legislative History Establishes that Congress Intended the Ap</w:t>
      </w:r>
      <w:r w:rsidR="00736433" w:rsidRPr="00E52611">
        <w:t>propriations Laws as Punishment</w:t>
      </w:r>
      <w:r w:rsidR="00736433" w:rsidRPr="00E52611">
        <w:rPr>
          <w:b w:val="0"/>
        </w:rPr>
        <w:t>……</w:t>
      </w:r>
      <w:r w:rsidR="00A222D0" w:rsidRPr="00E52611">
        <w:rPr>
          <w:b w:val="0"/>
        </w:rPr>
        <w:t>………………</w:t>
      </w:r>
      <w:r w:rsidR="00182970">
        <w:rPr>
          <w:b w:val="0"/>
        </w:rPr>
        <w:t>…………………………</w:t>
      </w:r>
      <w:r w:rsidR="00A222D0" w:rsidRPr="00E52611">
        <w:rPr>
          <w:b w:val="0"/>
        </w:rPr>
        <w:t>…</w:t>
      </w:r>
      <w:r w:rsidR="00182970">
        <w:rPr>
          <w:b w:val="0"/>
        </w:rPr>
        <w:t>.</w:t>
      </w:r>
      <w:r w:rsidR="00A222D0" w:rsidRPr="00E52611">
        <w:rPr>
          <w:b w:val="0"/>
        </w:rPr>
        <w:t>……...36</w:t>
      </w:r>
    </w:p>
    <w:p w:rsidR="00F37648" w:rsidRPr="00E52611" w:rsidRDefault="00F37648" w:rsidP="000B282C">
      <w:pPr>
        <w:pStyle w:val="Heading1"/>
      </w:pPr>
    </w:p>
    <w:p w:rsidR="000B282C" w:rsidRPr="00E52611" w:rsidRDefault="000B282C" w:rsidP="000B282C">
      <w:pPr>
        <w:pStyle w:val="Heading1"/>
      </w:pPr>
      <w:r w:rsidRPr="00E52611">
        <w:t>CONCLUSION</w:t>
      </w:r>
      <w:r w:rsidR="00182970">
        <w:rPr>
          <w:b w:val="0"/>
        </w:rPr>
        <w:t>………………….………………….…………………….…………</w:t>
      </w:r>
      <w:r w:rsidR="00A222D0" w:rsidRPr="00E52611">
        <w:rPr>
          <w:b w:val="0"/>
        </w:rPr>
        <w:t>40</w:t>
      </w:r>
    </w:p>
    <w:p w:rsidR="00F37648" w:rsidRPr="00E52611" w:rsidRDefault="00F37648" w:rsidP="000B282C">
      <w:pPr>
        <w:rPr>
          <w:b/>
        </w:rPr>
      </w:pPr>
    </w:p>
    <w:p w:rsidR="006B3C8A" w:rsidRPr="00E52611" w:rsidRDefault="006B3C8A" w:rsidP="00FE268F">
      <w:pPr>
        <w:rPr>
          <w:b/>
        </w:rPr>
      </w:pPr>
    </w:p>
    <w:p w:rsidR="00735673" w:rsidRPr="00E52611" w:rsidRDefault="00735673">
      <w:pPr>
        <w:rPr>
          <w:rFonts w:eastAsiaTheme="majorEastAsia" w:cstheme="majorBidi"/>
          <w:b/>
          <w:bCs/>
          <w:szCs w:val="28"/>
        </w:rPr>
      </w:pPr>
      <w:r w:rsidRPr="00E52611">
        <w:br w:type="page"/>
      </w:r>
    </w:p>
    <w:p w:rsidR="00E52611" w:rsidRPr="00E52611" w:rsidRDefault="00E52611" w:rsidP="00E52611">
      <w:pPr>
        <w:pStyle w:val="BATOATitle"/>
        <w:rPr>
          <w:rFonts w:ascii="Century" w:hAnsi="Century"/>
          <w:noProof/>
        </w:rPr>
      </w:pPr>
      <w:bookmarkStart w:id="0" w:name="_BA_TOA_SelectionPoint"/>
      <w:bookmarkStart w:id="1" w:name="_BA_DraftTOALocation"/>
      <w:bookmarkStart w:id="2" w:name="_BA_TOAAll"/>
      <w:r w:rsidRPr="00E52611">
        <w:rPr>
          <w:rFonts w:ascii="Century" w:hAnsi="Century"/>
          <w:noProof/>
        </w:rPr>
        <w:lastRenderedPageBreak/>
        <w:t>Table of Authorities</w:t>
      </w:r>
    </w:p>
    <w:p w:rsidR="00E52611" w:rsidRPr="00E52611" w:rsidRDefault="00E52611" w:rsidP="00E52611">
      <w:pPr>
        <w:pStyle w:val="BATOAPageHeading"/>
        <w:rPr>
          <w:rFonts w:ascii="Century" w:hAnsi="Century"/>
          <w:noProof/>
        </w:rPr>
      </w:pPr>
      <w:r w:rsidRPr="00E52611">
        <w:rPr>
          <w:rFonts w:ascii="Century" w:hAnsi="Century"/>
          <w:noProof/>
        </w:rPr>
        <w:tab/>
        <w:t>Page(s)</w:t>
      </w:r>
    </w:p>
    <w:p w:rsidR="00E52611" w:rsidRPr="00E52611" w:rsidRDefault="00E52611" w:rsidP="00E52611">
      <w:pPr>
        <w:pStyle w:val="BATOAHeading"/>
        <w:rPr>
          <w:rFonts w:ascii="Century" w:hAnsi="Century"/>
          <w:noProof/>
        </w:rPr>
      </w:pPr>
      <w:bookmarkStart w:id="3" w:name="_BA95XTOA95Cases"/>
      <w:r w:rsidRPr="00E52611">
        <w:rPr>
          <w:rFonts w:ascii="Century" w:hAnsi="Century"/>
          <w:noProof/>
        </w:rPr>
        <w:t>Cases</w:t>
      </w:r>
    </w:p>
    <w:p w:rsidR="00E52611" w:rsidRPr="00E52611" w:rsidRDefault="00E52611" w:rsidP="00E52611">
      <w:pPr>
        <w:pStyle w:val="BATOAEntry"/>
        <w:rPr>
          <w:rFonts w:ascii="Century" w:hAnsi="Century"/>
          <w:noProof/>
        </w:rPr>
      </w:pPr>
      <w:r w:rsidRPr="00E52611">
        <w:rPr>
          <w:rFonts w:ascii="Century" w:hAnsi="Century"/>
          <w:i/>
          <w:noProof/>
        </w:rPr>
        <w:t>Am. Commc’ns Ass’n v. Douds</w:t>
      </w:r>
      <w:r w:rsidRPr="00E52611">
        <w:rPr>
          <w:rFonts w:ascii="Century" w:hAnsi="Century"/>
          <w:noProof/>
        </w:rPr>
        <w:t>,</w:t>
      </w:r>
      <w:r w:rsidRPr="00E52611">
        <w:rPr>
          <w:rFonts w:ascii="Century" w:hAnsi="Century"/>
          <w:noProof/>
        </w:rPr>
        <w:br/>
        <w:t>339 U.S. 382 (1950)</w:t>
      </w:r>
      <w:r w:rsidRPr="00E52611">
        <w:rPr>
          <w:rFonts w:ascii="Century" w:hAnsi="Century"/>
          <w:noProof/>
        </w:rPr>
        <w:tab/>
      </w:r>
      <w:hyperlink w:anchor="_BA_Cite_224" w:tooltip="Long: Am. Commc'ns Ass'n v. Douds,  339 U.S. 382 (1950)" w:history="1">
        <w:r w:rsidRPr="00E52611">
          <w:rPr>
            <w:rFonts w:ascii="Century" w:hAnsi="Century"/>
            <w:noProof/>
          </w:rPr>
          <w:t>27</w:t>
        </w:r>
      </w:hyperlink>
    </w:p>
    <w:p w:rsidR="00E52611" w:rsidRPr="00E52611" w:rsidRDefault="00E52611" w:rsidP="00E52611">
      <w:pPr>
        <w:pStyle w:val="BATOAEntry"/>
        <w:rPr>
          <w:rFonts w:ascii="Century" w:hAnsi="Century"/>
          <w:noProof/>
        </w:rPr>
      </w:pPr>
      <w:r w:rsidRPr="00E52611">
        <w:rPr>
          <w:rFonts w:ascii="Century" w:hAnsi="Century"/>
          <w:i/>
          <w:noProof/>
        </w:rPr>
        <w:t>BellSouth Corp. v. FCC</w:t>
      </w:r>
      <w:r w:rsidRPr="00E52611">
        <w:rPr>
          <w:rFonts w:ascii="Century" w:hAnsi="Century"/>
          <w:noProof/>
        </w:rPr>
        <w:t>,</w:t>
      </w:r>
      <w:r w:rsidRPr="00E52611">
        <w:rPr>
          <w:rFonts w:ascii="Century" w:hAnsi="Century"/>
          <w:noProof/>
        </w:rPr>
        <w:br/>
        <w:t>162 F.3d 678 (D.C. Cir. 1998)</w:t>
      </w:r>
      <w:r w:rsidRPr="00E52611">
        <w:rPr>
          <w:rFonts w:ascii="Century" w:hAnsi="Century"/>
          <w:noProof/>
        </w:rPr>
        <w:tab/>
      </w:r>
      <w:hyperlink w:anchor="_BA_Cite_215" w:tooltip="Short: BellSouth" w:history="1">
        <w:r w:rsidRPr="00E52611">
          <w:rPr>
            <w:rFonts w:ascii="Century" w:hAnsi="Century"/>
            <w:noProof/>
          </w:rPr>
          <w:t>24</w:t>
        </w:r>
      </w:hyperlink>
      <w:r w:rsidRPr="00E52611">
        <w:rPr>
          <w:rFonts w:ascii="Century" w:hAnsi="Century"/>
          <w:noProof/>
        </w:rPr>
        <w:t>,</w:t>
      </w:r>
      <w:hyperlink w:anchor="_BA_Cite_216" w:tooltip="Long: BellSouth Corp. v. FCC,  162 F.3d 678 (D.C. Cir. 1998)" w:history="1">
        <w:r w:rsidRPr="00E52611">
          <w:rPr>
            <w:rFonts w:ascii="Century" w:hAnsi="Century"/>
            <w:noProof/>
          </w:rPr>
          <w:t xml:space="preserve"> 25</w:t>
        </w:r>
      </w:hyperlink>
      <w:r w:rsidRPr="00E52611">
        <w:rPr>
          <w:rFonts w:ascii="Century" w:hAnsi="Century"/>
          <w:noProof/>
        </w:rPr>
        <w:t xml:space="preserve">, </w:t>
      </w:r>
      <w:hyperlink w:anchor="_BA_Cite_223" w:tooltip="Short: BellSouth, 162 F.3d at 686" w:history="1">
        <w:r w:rsidRPr="00E52611">
          <w:rPr>
            <w:rFonts w:ascii="Century" w:hAnsi="Century"/>
            <w:noProof/>
          </w:rPr>
          <w:t>27</w:t>
        </w:r>
      </w:hyperlink>
    </w:p>
    <w:p w:rsidR="00E52611" w:rsidRPr="00E52611" w:rsidRDefault="00E52611" w:rsidP="00E52611">
      <w:pPr>
        <w:pStyle w:val="BATOAEntry"/>
        <w:rPr>
          <w:rFonts w:ascii="Century" w:hAnsi="Century"/>
          <w:noProof/>
        </w:rPr>
      </w:pPr>
      <w:r w:rsidRPr="00E52611">
        <w:rPr>
          <w:rFonts w:ascii="Century" w:hAnsi="Century"/>
          <w:i/>
          <w:iCs/>
          <w:noProof/>
        </w:rPr>
        <w:t>Citizens United v. FEC</w:t>
      </w:r>
      <w:r w:rsidRPr="00E52611">
        <w:rPr>
          <w:rFonts w:ascii="Century" w:hAnsi="Century"/>
          <w:iCs/>
          <w:noProof/>
        </w:rPr>
        <w:t>,</w:t>
      </w:r>
      <w:r w:rsidRPr="00E52611">
        <w:rPr>
          <w:rFonts w:ascii="Century" w:hAnsi="Century"/>
          <w:iCs/>
          <w:noProof/>
        </w:rPr>
        <w:br/>
      </w:r>
      <w:r w:rsidRPr="00E52611">
        <w:rPr>
          <w:rFonts w:ascii="Century" w:hAnsi="Century"/>
          <w:bCs/>
          <w:iCs/>
          <w:noProof/>
        </w:rPr>
        <w:t>130 S. Ct. 876 (2010)</w:t>
      </w:r>
      <w:r w:rsidRPr="00E52611">
        <w:rPr>
          <w:rFonts w:ascii="Century" w:hAnsi="Century"/>
          <w:noProof/>
        </w:rPr>
        <w:tab/>
      </w:r>
      <w:hyperlink w:anchor="_BA_Cite_181" w:tooltip="Long: Citizens United v. FEC,  130 S. Ct. 876 (2010)" w:history="1">
        <w:r w:rsidRPr="00E52611">
          <w:rPr>
            <w:rFonts w:ascii="Century" w:hAnsi="Century"/>
            <w:noProof/>
          </w:rPr>
          <w:t>14</w:t>
        </w:r>
      </w:hyperlink>
    </w:p>
    <w:p w:rsidR="00E52611" w:rsidRPr="00E52611" w:rsidRDefault="00E52611" w:rsidP="00E52611">
      <w:pPr>
        <w:pStyle w:val="BATOAEntry"/>
        <w:rPr>
          <w:rFonts w:ascii="Century" w:hAnsi="Century"/>
          <w:noProof/>
        </w:rPr>
      </w:pPr>
      <w:r w:rsidRPr="00E52611">
        <w:rPr>
          <w:rFonts w:ascii="Century" w:hAnsi="Century"/>
          <w:i/>
          <w:iCs/>
          <w:noProof/>
        </w:rPr>
        <w:t>Club Misty, Inc. v. Laski</w:t>
      </w:r>
      <w:r w:rsidRPr="00E52611">
        <w:rPr>
          <w:rFonts w:ascii="Century" w:hAnsi="Century"/>
          <w:iCs/>
          <w:noProof/>
        </w:rPr>
        <w:t>,</w:t>
      </w:r>
      <w:r w:rsidRPr="00E52611">
        <w:rPr>
          <w:rFonts w:ascii="Century" w:hAnsi="Century"/>
          <w:iCs/>
          <w:noProof/>
        </w:rPr>
        <w:br/>
      </w:r>
      <w:r w:rsidRPr="00E52611">
        <w:rPr>
          <w:rFonts w:ascii="Century" w:hAnsi="Century"/>
          <w:noProof/>
        </w:rPr>
        <w:t>208 F.3d 615 (7th Cir.2000)</w:t>
      </w:r>
      <w:r w:rsidRPr="00E52611">
        <w:rPr>
          <w:rFonts w:ascii="Century" w:hAnsi="Century"/>
          <w:noProof/>
        </w:rPr>
        <w:tab/>
      </w:r>
      <w:hyperlink w:anchor="_BA_Cite_175" w:tooltip="Long: Club Misty, Inc. v. Laski,  208 F.3d 615 (7th Cir.2000)" w:history="1">
        <w:r w:rsidRPr="00E52611">
          <w:rPr>
            <w:rFonts w:ascii="Century" w:hAnsi="Century"/>
            <w:noProof/>
          </w:rPr>
          <w:t>13</w:t>
        </w:r>
      </w:hyperlink>
    </w:p>
    <w:p w:rsidR="00E52611" w:rsidRPr="00E52611" w:rsidRDefault="00E52611" w:rsidP="00E52611">
      <w:pPr>
        <w:pStyle w:val="BATOAEntry"/>
        <w:rPr>
          <w:rFonts w:ascii="Century" w:hAnsi="Century"/>
          <w:noProof/>
        </w:rPr>
      </w:pPr>
      <w:r w:rsidRPr="00E52611">
        <w:rPr>
          <w:rFonts w:ascii="Century" w:hAnsi="Century"/>
          <w:i/>
          <w:noProof/>
        </w:rPr>
        <w:t>Con. Edison v. Pataki</w:t>
      </w:r>
      <w:r w:rsidRPr="00E52611">
        <w:rPr>
          <w:rFonts w:ascii="Century" w:hAnsi="Century"/>
          <w:noProof/>
        </w:rPr>
        <w:t>,</w:t>
      </w:r>
      <w:r w:rsidRPr="00E52611">
        <w:rPr>
          <w:rFonts w:ascii="Century" w:hAnsi="Century"/>
          <w:noProof/>
        </w:rPr>
        <w:br/>
        <w:t>292 F.3d 338 (2d Cir. 2002)</w:t>
      </w:r>
      <w:r w:rsidRPr="00E52611">
        <w:rPr>
          <w:rFonts w:ascii="Century" w:hAnsi="Century"/>
          <w:noProof/>
        </w:rPr>
        <w:tab/>
      </w:r>
      <w:hyperlink w:anchor="_BA_Cite_168" w:tooltip="Long: Con. Edison v. Pataki,  292 F.3d 338 (2d Cir. 2002)" w:history="1">
        <w:r w:rsidRPr="00E52611">
          <w:rPr>
            <w:rFonts w:ascii="Century" w:hAnsi="Century"/>
            <w:noProof/>
          </w:rPr>
          <w:t>passim</w:t>
        </w:r>
      </w:hyperlink>
    </w:p>
    <w:p w:rsidR="00E52611" w:rsidRPr="00E52611" w:rsidRDefault="00E52611" w:rsidP="00E52611">
      <w:pPr>
        <w:pStyle w:val="BATOAEntry"/>
        <w:rPr>
          <w:rFonts w:ascii="Century" w:hAnsi="Century"/>
          <w:noProof/>
        </w:rPr>
      </w:pPr>
      <w:r w:rsidRPr="00E52611">
        <w:rPr>
          <w:rFonts w:ascii="Century" w:hAnsi="Century"/>
          <w:i/>
          <w:noProof/>
        </w:rPr>
        <w:t>Cummings v. Missouri</w:t>
      </w:r>
      <w:r w:rsidRPr="00E52611">
        <w:rPr>
          <w:rFonts w:ascii="Century" w:hAnsi="Century"/>
          <w:noProof/>
        </w:rPr>
        <w:t>,</w:t>
      </w:r>
      <w:r w:rsidRPr="00E52611">
        <w:rPr>
          <w:rFonts w:ascii="Century" w:hAnsi="Century"/>
          <w:noProof/>
        </w:rPr>
        <w:br/>
        <w:t>71 U.S. 277 (1866)</w:t>
      </w:r>
      <w:r w:rsidRPr="00E52611">
        <w:rPr>
          <w:rFonts w:ascii="Century" w:hAnsi="Century"/>
          <w:noProof/>
        </w:rPr>
        <w:tab/>
      </w:r>
      <w:hyperlink w:anchor="_BA_Cite_196" w:tooltip="Long: Cummings v. Missouri,  71 U.S. 277 (1866)" w:history="1">
        <w:r w:rsidRPr="00E52611">
          <w:rPr>
            <w:rFonts w:ascii="Century" w:hAnsi="Century"/>
            <w:noProof/>
          </w:rPr>
          <w:t>passim</w:t>
        </w:r>
      </w:hyperlink>
    </w:p>
    <w:p w:rsidR="00E52611" w:rsidRPr="00E52611" w:rsidRDefault="00E52611" w:rsidP="00E52611">
      <w:pPr>
        <w:pStyle w:val="BATOAEntry"/>
        <w:rPr>
          <w:rFonts w:ascii="Century" w:hAnsi="Century"/>
          <w:noProof/>
        </w:rPr>
      </w:pPr>
      <w:r w:rsidRPr="00E52611">
        <w:rPr>
          <w:rFonts w:ascii="Century" w:hAnsi="Century"/>
          <w:i/>
          <w:noProof/>
        </w:rPr>
        <w:t>Dartmouth Coll. v. Woodward</w:t>
      </w:r>
      <w:r w:rsidRPr="00E52611">
        <w:rPr>
          <w:rFonts w:ascii="Century" w:hAnsi="Century"/>
          <w:noProof/>
        </w:rPr>
        <w:t>,</w:t>
      </w:r>
      <w:r w:rsidRPr="00E52611">
        <w:rPr>
          <w:rFonts w:ascii="Century" w:hAnsi="Century"/>
          <w:noProof/>
        </w:rPr>
        <w:br/>
        <w:t>17 U.S. 518 (1819)</w:t>
      </w:r>
      <w:r w:rsidRPr="00E52611">
        <w:rPr>
          <w:rFonts w:ascii="Century" w:hAnsi="Century"/>
          <w:noProof/>
        </w:rPr>
        <w:tab/>
      </w:r>
      <w:hyperlink w:anchor="_BA_Cite_179" w:tooltip="Long: Dartmouth Coll. v. Woodward,  17 U.S. 518 (1819)" w:history="1">
        <w:r w:rsidRPr="00E52611">
          <w:rPr>
            <w:rFonts w:ascii="Century" w:hAnsi="Century"/>
            <w:noProof/>
          </w:rPr>
          <w:t>13</w:t>
        </w:r>
      </w:hyperlink>
    </w:p>
    <w:p w:rsidR="003679B9" w:rsidRDefault="003679B9" w:rsidP="003679B9">
      <w:pPr>
        <w:pStyle w:val="BATOAEntry"/>
        <w:spacing w:after="0"/>
        <w:rPr>
          <w:rFonts w:ascii="Century" w:hAnsi="Century"/>
          <w:i/>
          <w:noProof/>
        </w:rPr>
      </w:pPr>
      <w:r w:rsidRPr="003679B9">
        <w:rPr>
          <w:rFonts w:ascii="Century" w:hAnsi="Century"/>
          <w:i/>
          <w:noProof/>
        </w:rPr>
        <w:t xml:space="preserve">Davis v. Fed. Election Comm’n, </w:t>
      </w:r>
    </w:p>
    <w:p w:rsidR="003679B9" w:rsidRPr="00162260" w:rsidRDefault="003679B9" w:rsidP="003679B9">
      <w:pPr>
        <w:pStyle w:val="BATOAEntry"/>
        <w:spacing w:after="0"/>
        <w:rPr>
          <w:rFonts w:ascii="Century" w:hAnsi="Century"/>
          <w:noProof/>
        </w:rPr>
      </w:pPr>
      <w:r>
        <w:rPr>
          <w:rFonts w:ascii="Century" w:hAnsi="Century"/>
          <w:bCs/>
          <w:noProof/>
        </w:rPr>
        <w:t xml:space="preserve">554 U.S. 724 </w:t>
      </w:r>
      <w:r w:rsidRPr="003679B9">
        <w:rPr>
          <w:rFonts w:ascii="Century" w:hAnsi="Century"/>
          <w:noProof/>
        </w:rPr>
        <w:t>(2008)</w:t>
      </w:r>
      <w:r>
        <w:rPr>
          <w:rFonts w:ascii="Century" w:hAnsi="Century"/>
          <w:i/>
          <w:noProof/>
        </w:rPr>
        <w:tab/>
      </w:r>
      <w:r w:rsidR="00162260">
        <w:rPr>
          <w:rFonts w:ascii="Century" w:hAnsi="Century"/>
          <w:noProof/>
        </w:rPr>
        <w:t>31</w:t>
      </w:r>
    </w:p>
    <w:p w:rsidR="003679B9" w:rsidRDefault="003679B9" w:rsidP="003679B9">
      <w:pPr>
        <w:pStyle w:val="BATOAEntry"/>
        <w:spacing w:after="0"/>
        <w:rPr>
          <w:rFonts w:ascii="Century" w:hAnsi="Century"/>
          <w:i/>
          <w:noProof/>
        </w:rPr>
      </w:pPr>
    </w:p>
    <w:p w:rsidR="00E52611" w:rsidRPr="00E52611" w:rsidRDefault="00E52611" w:rsidP="00E52611">
      <w:pPr>
        <w:pStyle w:val="BATOAEntry"/>
        <w:rPr>
          <w:rFonts w:ascii="Century" w:hAnsi="Century"/>
          <w:noProof/>
        </w:rPr>
      </w:pPr>
      <w:r w:rsidRPr="00E52611">
        <w:rPr>
          <w:rFonts w:ascii="Century" w:hAnsi="Century"/>
          <w:i/>
          <w:noProof/>
        </w:rPr>
        <w:t>Dehainaut v. Pena</w:t>
      </w:r>
      <w:r w:rsidRPr="00E52611">
        <w:rPr>
          <w:rFonts w:ascii="Century" w:hAnsi="Century"/>
          <w:noProof/>
        </w:rPr>
        <w:t>,</w:t>
      </w:r>
      <w:r w:rsidRPr="00E52611">
        <w:rPr>
          <w:rFonts w:ascii="Century" w:hAnsi="Century"/>
          <w:noProof/>
        </w:rPr>
        <w:br/>
        <w:t>32 F.3d 1066 (7th Cir. 1994)</w:t>
      </w:r>
      <w:r w:rsidRPr="00E52611">
        <w:rPr>
          <w:rFonts w:ascii="Century" w:hAnsi="Century"/>
          <w:noProof/>
        </w:rPr>
        <w:tab/>
      </w:r>
      <w:hyperlink w:anchor="_BA_Cite_211" w:tooltip="Long: Dehainaut v. Pena,  32 F.3d 1066 (7th Cir. 1994)" w:history="1">
        <w:r w:rsidRPr="00E52611">
          <w:rPr>
            <w:rFonts w:ascii="Century" w:hAnsi="Century"/>
            <w:noProof/>
          </w:rPr>
          <w:t>23</w:t>
        </w:r>
      </w:hyperlink>
      <w:r w:rsidRPr="00E52611">
        <w:rPr>
          <w:rFonts w:ascii="Century" w:hAnsi="Century"/>
          <w:noProof/>
        </w:rPr>
        <w:t>,</w:t>
      </w:r>
      <w:hyperlink w:anchor="_BA_Cite_220" w:tooltip="Short: Dehainaut" w:history="1">
        <w:r w:rsidRPr="00E52611">
          <w:rPr>
            <w:rFonts w:ascii="Century" w:hAnsi="Century"/>
            <w:noProof/>
          </w:rPr>
          <w:t xml:space="preserve"> 26</w:t>
        </w:r>
      </w:hyperlink>
      <w:r w:rsidRPr="00E52611">
        <w:rPr>
          <w:rFonts w:ascii="Century" w:hAnsi="Century"/>
          <w:noProof/>
        </w:rPr>
        <w:t xml:space="preserve">, </w:t>
      </w:r>
      <w:hyperlink w:anchor="_BA_Cite_237" w:tooltip="Short: 32 F.3d at 1072-73" w:history="1">
        <w:r w:rsidRPr="00E52611">
          <w:rPr>
            <w:rFonts w:ascii="Century" w:hAnsi="Century"/>
            <w:noProof/>
          </w:rPr>
          <w:t>32</w:t>
        </w:r>
      </w:hyperlink>
    </w:p>
    <w:p w:rsidR="00E52611" w:rsidRPr="00E52611" w:rsidRDefault="00E52611" w:rsidP="00E52611">
      <w:pPr>
        <w:pStyle w:val="BATOAEntry"/>
        <w:rPr>
          <w:rFonts w:ascii="Century" w:hAnsi="Century"/>
          <w:noProof/>
        </w:rPr>
      </w:pPr>
      <w:r w:rsidRPr="00E52611">
        <w:rPr>
          <w:rFonts w:ascii="Century" w:hAnsi="Century"/>
          <w:i/>
          <w:noProof/>
        </w:rPr>
        <w:t>Dent v. West Virginia</w:t>
      </w:r>
      <w:r w:rsidRPr="00E52611">
        <w:rPr>
          <w:rFonts w:ascii="Century" w:hAnsi="Century"/>
          <w:noProof/>
        </w:rPr>
        <w:t>,</w:t>
      </w:r>
      <w:r w:rsidRPr="00E52611">
        <w:rPr>
          <w:rFonts w:ascii="Century" w:hAnsi="Century"/>
          <w:noProof/>
        </w:rPr>
        <w:br/>
        <w:t>129 U.S. 114 (1889)</w:t>
      </w:r>
      <w:r w:rsidRPr="00E52611">
        <w:rPr>
          <w:rFonts w:ascii="Century" w:hAnsi="Century"/>
          <w:noProof/>
        </w:rPr>
        <w:tab/>
      </w:r>
      <w:hyperlink w:anchor="_BA_Cite_212" w:tooltip="Long: Dent v. West Virginia,  129 U.S. 114 (1889)" w:history="1">
        <w:r w:rsidRPr="00E52611">
          <w:rPr>
            <w:rFonts w:ascii="Century" w:hAnsi="Century"/>
            <w:noProof/>
          </w:rPr>
          <w:t>23</w:t>
        </w:r>
      </w:hyperlink>
    </w:p>
    <w:p w:rsidR="00E52611" w:rsidRPr="00E52611" w:rsidRDefault="00E52611" w:rsidP="00E52611">
      <w:pPr>
        <w:pStyle w:val="BATOAEntry"/>
        <w:rPr>
          <w:rFonts w:ascii="Century" w:hAnsi="Century"/>
          <w:noProof/>
        </w:rPr>
      </w:pPr>
      <w:r w:rsidRPr="00E52611">
        <w:rPr>
          <w:rFonts w:ascii="Century" w:hAnsi="Century"/>
          <w:i/>
          <w:noProof/>
        </w:rPr>
        <w:t>DeVeau v. Braisted</w:t>
      </w:r>
      <w:r w:rsidRPr="00E52611">
        <w:rPr>
          <w:rFonts w:ascii="Century" w:hAnsi="Century"/>
          <w:noProof/>
        </w:rPr>
        <w:t>,</w:t>
      </w:r>
      <w:r w:rsidRPr="00E52611">
        <w:rPr>
          <w:rFonts w:ascii="Century" w:hAnsi="Century"/>
          <w:noProof/>
        </w:rPr>
        <w:br/>
        <w:t>363 U.S. 144 (1960)</w:t>
      </w:r>
      <w:r w:rsidRPr="00E52611">
        <w:rPr>
          <w:rFonts w:ascii="Century" w:hAnsi="Century"/>
          <w:noProof/>
        </w:rPr>
        <w:tab/>
      </w:r>
      <w:hyperlink w:anchor="_BA_Cite_214" w:tooltip="Long: DeVeau v. Braisted,  363 U.S. 144 (1960) (New York statute disqualifying convicted felons from office in a waterfront labor organization was not punishment)" w:history="1">
        <w:r w:rsidRPr="00E52611">
          <w:rPr>
            <w:rFonts w:ascii="Century" w:hAnsi="Century"/>
            <w:noProof/>
          </w:rPr>
          <w:t>24</w:t>
        </w:r>
      </w:hyperlink>
    </w:p>
    <w:p w:rsidR="00E52611" w:rsidRPr="00E52611" w:rsidRDefault="00E52611" w:rsidP="00E52611">
      <w:pPr>
        <w:pStyle w:val="BATOAEntry"/>
        <w:rPr>
          <w:rFonts w:ascii="Century" w:hAnsi="Century"/>
          <w:noProof/>
        </w:rPr>
      </w:pPr>
      <w:r w:rsidRPr="00E52611">
        <w:rPr>
          <w:rFonts w:ascii="Century" w:hAnsi="Century"/>
          <w:i/>
          <w:noProof/>
        </w:rPr>
        <w:t>Ex parte Garland</w:t>
      </w:r>
      <w:r w:rsidRPr="00E52611">
        <w:rPr>
          <w:rFonts w:ascii="Century" w:hAnsi="Century"/>
          <w:noProof/>
        </w:rPr>
        <w:t>,</w:t>
      </w:r>
      <w:r w:rsidRPr="00E52611">
        <w:rPr>
          <w:rFonts w:ascii="Century" w:hAnsi="Century"/>
          <w:noProof/>
        </w:rPr>
        <w:br/>
        <w:t>71 U.S. 333 (1866)</w:t>
      </w:r>
      <w:r w:rsidRPr="00E52611">
        <w:rPr>
          <w:rFonts w:ascii="Century" w:hAnsi="Century"/>
          <w:noProof/>
        </w:rPr>
        <w:tab/>
      </w:r>
      <w:hyperlink w:anchor="_BA_Cite_198" w:tooltip="Long: Ex parte Garland,  71 U.S. 333 (1866)" w:history="1">
        <w:r w:rsidRPr="00E52611">
          <w:rPr>
            <w:rFonts w:ascii="Century" w:hAnsi="Century"/>
            <w:noProof/>
          </w:rPr>
          <w:t>17</w:t>
        </w:r>
      </w:hyperlink>
      <w:r w:rsidRPr="00E52611">
        <w:rPr>
          <w:rFonts w:ascii="Century" w:hAnsi="Century"/>
          <w:noProof/>
        </w:rPr>
        <w:t>,</w:t>
      </w:r>
      <w:hyperlink w:anchor="_BA_Cite_200" w:tooltip="Short: 71 U.S. at 333" w:history="1">
        <w:r w:rsidRPr="00E52611">
          <w:rPr>
            <w:rFonts w:ascii="Century" w:hAnsi="Century"/>
            <w:noProof/>
          </w:rPr>
          <w:t xml:space="preserve"> 18</w:t>
        </w:r>
      </w:hyperlink>
      <w:r w:rsidRPr="00E52611">
        <w:rPr>
          <w:rFonts w:ascii="Century" w:hAnsi="Century"/>
          <w:noProof/>
        </w:rPr>
        <w:t xml:space="preserve">, </w:t>
      </w:r>
      <w:hyperlink w:anchor="_BA_Cite_209" w:tooltip="Short: Garland" w:history="1">
        <w:r w:rsidRPr="00E52611">
          <w:rPr>
            <w:rFonts w:ascii="Century" w:hAnsi="Century"/>
            <w:noProof/>
          </w:rPr>
          <w:t>23</w:t>
        </w:r>
      </w:hyperlink>
    </w:p>
    <w:p w:rsidR="00E52611" w:rsidRPr="00E52611" w:rsidRDefault="00E52611" w:rsidP="00E52611">
      <w:pPr>
        <w:pStyle w:val="BATOAEntry"/>
        <w:rPr>
          <w:rFonts w:ascii="Century" w:hAnsi="Century"/>
          <w:noProof/>
        </w:rPr>
      </w:pPr>
      <w:r w:rsidRPr="00E52611">
        <w:rPr>
          <w:rFonts w:ascii="Century" w:hAnsi="Century"/>
          <w:i/>
          <w:noProof/>
        </w:rPr>
        <w:t>First Nat’l Bank of Boston v. Bellotti</w:t>
      </w:r>
      <w:r w:rsidRPr="00E52611">
        <w:rPr>
          <w:rFonts w:ascii="Century" w:hAnsi="Century"/>
          <w:noProof/>
        </w:rPr>
        <w:t>,</w:t>
      </w:r>
      <w:r w:rsidRPr="00E52611">
        <w:rPr>
          <w:rFonts w:ascii="Century" w:hAnsi="Century"/>
          <w:noProof/>
        </w:rPr>
        <w:br/>
        <w:t>435 U.S. 765 (1978)</w:t>
      </w:r>
      <w:r w:rsidRPr="00E52611">
        <w:rPr>
          <w:rFonts w:ascii="Century" w:hAnsi="Century"/>
          <w:noProof/>
        </w:rPr>
        <w:tab/>
      </w:r>
      <w:hyperlink w:anchor="_BA_Cite_180" w:tooltip="Long: First Nat'l Bank of Boston v. Bellotti,  435 U.S. 765 (1978)" w:history="1">
        <w:r w:rsidRPr="00E52611">
          <w:rPr>
            <w:rFonts w:ascii="Century" w:hAnsi="Century"/>
            <w:noProof/>
          </w:rPr>
          <w:t>13</w:t>
        </w:r>
      </w:hyperlink>
      <w:r w:rsidRPr="00E52611">
        <w:rPr>
          <w:rFonts w:ascii="Century" w:hAnsi="Century"/>
          <w:noProof/>
        </w:rPr>
        <w:t>,</w:t>
      </w:r>
      <w:hyperlink w:anchor="_BA_Cite_188" w:tooltip="Short: Bellotti, 435 U.S. at 779, n. 14" w:history="1">
        <w:r w:rsidRPr="00E52611">
          <w:rPr>
            <w:rFonts w:ascii="Century" w:hAnsi="Century"/>
            <w:noProof/>
          </w:rPr>
          <w:t xml:space="preserve"> 14</w:t>
        </w:r>
      </w:hyperlink>
      <w:r w:rsidRPr="00E52611">
        <w:rPr>
          <w:rFonts w:ascii="Century" w:hAnsi="Century"/>
          <w:noProof/>
        </w:rPr>
        <w:t xml:space="preserve">, </w:t>
      </w:r>
      <w:hyperlink w:anchor="_BA_Cite_217" w:tooltip="Short: Bellotti, 435 U.S. at 783" w:history="1">
        <w:r w:rsidRPr="00E52611">
          <w:rPr>
            <w:rFonts w:ascii="Century" w:hAnsi="Century"/>
            <w:noProof/>
          </w:rPr>
          <w:t>25</w:t>
        </w:r>
      </w:hyperlink>
    </w:p>
    <w:p w:rsidR="00E52611" w:rsidRPr="00E52611" w:rsidRDefault="00E52611" w:rsidP="00E52611">
      <w:pPr>
        <w:pStyle w:val="BATOAEntry"/>
        <w:rPr>
          <w:rFonts w:ascii="Century" w:hAnsi="Century"/>
          <w:noProof/>
        </w:rPr>
      </w:pPr>
      <w:r w:rsidRPr="00E52611">
        <w:rPr>
          <w:rFonts w:ascii="Century" w:hAnsi="Century"/>
          <w:i/>
          <w:noProof/>
        </w:rPr>
        <w:t>Fla. Youth Conservation Corps., Inc. v. Suttler</w:t>
      </w:r>
      <w:r w:rsidRPr="00E52611">
        <w:rPr>
          <w:rFonts w:ascii="Century" w:hAnsi="Century"/>
          <w:noProof/>
        </w:rPr>
        <w:t>,</w:t>
      </w:r>
      <w:r w:rsidRPr="00E52611">
        <w:rPr>
          <w:rFonts w:ascii="Century" w:hAnsi="Century"/>
          <w:noProof/>
        </w:rPr>
        <w:br/>
        <w:t>2006 WL 1835967 No. 4:06CV275-RH/WCS</w:t>
      </w:r>
      <w:r w:rsidR="00AE4196">
        <w:rPr>
          <w:rFonts w:ascii="Century" w:hAnsi="Century"/>
          <w:noProof/>
        </w:rPr>
        <w:t xml:space="preserve"> </w:t>
      </w:r>
      <w:r w:rsidRPr="00E52611">
        <w:rPr>
          <w:rFonts w:ascii="Century" w:hAnsi="Century"/>
          <w:noProof/>
        </w:rPr>
        <w:t>(N.D. Fla. June 30, 2006)</w:t>
      </w:r>
      <w:r w:rsidRPr="00E52611">
        <w:rPr>
          <w:rFonts w:ascii="Century" w:hAnsi="Century"/>
          <w:noProof/>
        </w:rPr>
        <w:tab/>
      </w:r>
      <w:hyperlink w:anchor="_BA_Cite_208" w:tooltip="Long: Fla. Youth Conservation Corps., Inc. v. Suttler,  2006 WL 1835967 No. 4:06CV275-RH/WCS, at *1 (N.D. Fla. June 30, 2006)" w:history="1">
        <w:r w:rsidRPr="00E52611">
          <w:rPr>
            <w:rFonts w:ascii="Century" w:hAnsi="Century"/>
            <w:noProof/>
          </w:rPr>
          <w:t>22</w:t>
        </w:r>
      </w:hyperlink>
      <w:r w:rsidR="00AE4196">
        <w:rPr>
          <w:rFonts w:ascii="Century" w:hAnsi="Century"/>
          <w:noProof/>
        </w:rPr>
        <w:t>, 26, 27</w:t>
      </w:r>
    </w:p>
    <w:p w:rsidR="00E52611" w:rsidRPr="00E52611" w:rsidRDefault="00E52611" w:rsidP="00E52611">
      <w:pPr>
        <w:pStyle w:val="BATOAEntry"/>
        <w:rPr>
          <w:rFonts w:ascii="Century" w:hAnsi="Century"/>
          <w:noProof/>
        </w:rPr>
      </w:pPr>
      <w:r w:rsidRPr="00E52611">
        <w:rPr>
          <w:rFonts w:ascii="Century" w:hAnsi="Century"/>
          <w:i/>
          <w:noProof/>
        </w:rPr>
        <w:lastRenderedPageBreak/>
        <w:t>Flemming v. Nestor</w:t>
      </w:r>
      <w:r w:rsidRPr="00E52611">
        <w:rPr>
          <w:rFonts w:ascii="Century" w:hAnsi="Century"/>
          <w:noProof/>
        </w:rPr>
        <w:t>,</w:t>
      </w:r>
      <w:r w:rsidRPr="00E52611">
        <w:rPr>
          <w:rFonts w:ascii="Century" w:hAnsi="Century"/>
          <w:noProof/>
        </w:rPr>
        <w:br/>
        <w:t>363 U.S. 603 (1960)</w:t>
      </w:r>
      <w:r w:rsidRPr="00E52611">
        <w:rPr>
          <w:rFonts w:ascii="Century" w:hAnsi="Century"/>
          <w:noProof/>
        </w:rPr>
        <w:tab/>
      </w:r>
      <w:hyperlink w:anchor="_BA_Cite_169" w:tooltip="Long: Flemming v. Nestor,  363 U.S. 603 (1960)" w:history="1">
        <w:r w:rsidRPr="00E52611">
          <w:rPr>
            <w:rFonts w:ascii="Century" w:hAnsi="Century"/>
            <w:noProof/>
          </w:rPr>
          <w:t>12</w:t>
        </w:r>
      </w:hyperlink>
    </w:p>
    <w:p w:rsidR="00E52611" w:rsidRPr="00E52611" w:rsidRDefault="00E52611" w:rsidP="00E52611">
      <w:pPr>
        <w:pStyle w:val="BATOAEntry"/>
        <w:rPr>
          <w:rFonts w:ascii="Century" w:hAnsi="Century"/>
          <w:noProof/>
        </w:rPr>
      </w:pPr>
      <w:r w:rsidRPr="00E52611">
        <w:rPr>
          <w:rFonts w:ascii="Century" w:hAnsi="Century"/>
          <w:i/>
          <w:noProof/>
        </w:rPr>
        <w:t>Foretich v. U.S.</w:t>
      </w:r>
      <w:r w:rsidRPr="00E52611">
        <w:rPr>
          <w:rFonts w:ascii="Century" w:hAnsi="Century"/>
          <w:noProof/>
        </w:rPr>
        <w:t>,</w:t>
      </w:r>
      <w:r w:rsidRPr="00E52611">
        <w:rPr>
          <w:rFonts w:ascii="Century" w:hAnsi="Century"/>
          <w:noProof/>
        </w:rPr>
        <w:br/>
        <w:t>351 F. 3d 1198 (D.C. Cir. 2003)</w:t>
      </w:r>
      <w:r w:rsidRPr="00E52611">
        <w:rPr>
          <w:rFonts w:ascii="Century" w:hAnsi="Century"/>
          <w:noProof/>
        </w:rPr>
        <w:tab/>
      </w:r>
      <w:hyperlink w:anchor="_BA_Cite_192" w:tooltip="Long: Foretich v. U.S.,  351 F. 3d 1198 (D.C. Cir. 2003)" w:history="1">
        <w:r w:rsidRPr="00E52611">
          <w:rPr>
            <w:rFonts w:ascii="Century" w:hAnsi="Century"/>
            <w:noProof/>
          </w:rPr>
          <w:t>passim</w:t>
        </w:r>
      </w:hyperlink>
    </w:p>
    <w:p w:rsidR="00E52611" w:rsidRPr="00E52611" w:rsidRDefault="00E52611" w:rsidP="00E52611">
      <w:pPr>
        <w:pStyle w:val="BATOAEntry"/>
        <w:rPr>
          <w:rFonts w:ascii="Century" w:hAnsi="Century"/>
          <w:noProof/>
        </w:rPr>
      </w:pPr>
      <w:r w:rsidRPr="00E52611">
        <w:rPr>
          <w:rFonts w:ascii="Century" w:hAnsi="Century"/>
          <w:i/>
          <w:noProof/>
        </w:rPr>
        <w:t>Hawker v. People of N.Y.</w:t>
      </w:r>
      <w:r w:rsidRPr="00E52611">
        <w:rPr>
          <w:rFonts w:ascii="Century" w:hAnsi="Century"/>
          <w:noProof/>
        </w:rPr>
        <w:t>,</w:t>
      </w:r>
      <w:r w:rsidRPr="00E52611">
        <w:rPr>
          <w:rFonts w:ascii="Century" w:hAnsi="Century"/>
          <w:noProof/>
        </w:rPr>
        <w:br/>
        <w:t>170 U.S. 189 (1898)</w:t>
      </w:r>
      <w:r w:rsidRPr="00E52611">
        <w:rPr>
          <w:rFonts w:ascii="Century" w:hAnsi="Century"/>
          <w:noProof/>
        </w:rPr>
        <w:tab/>
      </w:r>
      <w:hyperlink w:anchor="_BA_Cite_213" w:tooltip="Long: Hawker v. People of N.Y.,  170 U.S. 189 (1898)" w:history="1">
        <w:r w:rsidRPr="00E52611">
          <w:rPr>
            <w:rFonts w:ascii="Century" w:hAnsi="Century"/>
            <w:noProof/>
          </w:rPr>
          <w:t>24</w:t>
        </w:r>
      </w:hyperlink>
    </w:p>
    <w:p w:rsidR="00E52611" w:rsidRPr="00E52611" w:rsidRDefault="00E52611" w:rsidP="00E52611">
      <w:pPr>
        <w:pStyle w:val="BATOAEntry"/>
        <w:rPr>
          <w:rFonts w:ascii="Century" w:hAnsi="Century"/>
          <w:noProof/>
        </w:rPr>
      </w:pPr>
      <w:r w:rsidRPr="00E52611">
        <w:rPr>
          <w:rFonts w:ascii="Century" w:hAnsi="Century"/>
          <w:i/>
          <w:noProof/>
        </w:rPr>
        <w:t>Helicopteros Nacionales de Colom., S.A. v. Hall</w:t>
      </w:r>
      <w:r w:rsidRPr="00E52611">
        <w:rPr>
          <w:rFonts w:ascii="Century" w:hAnsi="Century"/>
          <w:noProof/>
        </w:rPr>
        <w:t>,</w:t>
      </w:r>
      <w:r w:rsidRPr="00E52611">
        <w:rPr>
          <w:rFonts w:ascii="Century" w:hAnsi="Century"/>
          <w:noProof/>
        </w:rPr>
        <w:br/>
        <w:t>466 U.S. 408 (1984)</w:t>
      </w:r>
      <w:r w:rsidRPr="00E52611">
        <w:rPr>
          <w:rFonts w:ascii="Century" w:hAnsi="Century"/>
          <w:noProof/>
        </w:rPr>
        <w:tab/>
      </w:r>
      <w:hyperlink w:anchor="_BA_Cite_182" w:tooltip="Long: Helicopteros Nacionales de Colom., S.A. v. Hall,  466 U.S. 408 (1984)" w:history="1">
        <w:r w:rsidRPr="00E52611">
          <w:rPr>
            <w:rFonts w:ascii="Century" w:hAnsi="Century"/>
            <w:noProof/>
          </w:rPr>
          <w:t>14</w:t>
        </w:r>
      </w:hyperlink>
      <w:r w:rsidRPr="00E52611">
        <w:rPr>
          <w:rFonts w:ascii="Century" w:hAnsi="Century"/>
          <w:noProof/>
        </w:rPr>
        <w:t xml:space="preserve">, </w:t>
      </w:r>
      <w:hyperlink w:anchor="_BA_Cite_191" w:tooltip="Short: Helicopteros, 466 U.S. at 413-419" w:history="1">
        <w:r w:rsidRPr="00E52611">
          <w:rPr>
            <w:rFonts w:ascii="Century" w:hAnsi="Century"/>
            <w:noProof/>
          </w:rPr>
          <w:t>15</w:t>
        </w:r>
      </w:hyperlink>
    </w:p>
    <w:p w:rsidR="00777C43" w:rsidRDefault="00DE0AD1" w:rsidP="00777C43">
      <w:pPr>
        <w:pStyle w:val="BATOAEntry"/>
        <w:spacing w:after="0"/>
        <w:rPr>
          <w:rFonts w:ascii="Century" w:hAnsi="Century"/>
          <w:noProof/>
        </w:rPr>
      </w:pPr>
      <w:r w:rsidRPr="00E52611">
        <w:rPr>
          <w:rFonts w:ascii="Century" w:hAnsi="Century"/>
          <w:i/>
          <w:noProof/>
        </w:rPr>
        <w:t>Joint Anti-Fascist Comm. v. McGrath</w:t>
      </w:r>
      <w:r>
        <w:rPr>
          <w:rFonts w:ascii="Century" w:hAnsi="Century"/>
          <w:noProof/>
        </w:rPr>
        <w:t xml:space="preserve">, </w:t>
      </w:r>
    </w:p>
    <w:p w:rsidR="00DE0AD1" w:rsidRDefault="00DE0AD1" w:rsidP="00777C43">
      <w:pPr>
        <w:pStyle w:val="BATOAEntry"/>
        <w:spacing w:after="0"/>
        <w:rPr>
          <w:rFonts w:ascii="Century" w:hAnsi="Century"/>
          <w:noProof/>
        </w:rPr>
      </w:pPr>
      <w:r w:rsidRPr="00E52611">
        <w:rPr>
          <w:rFonts w:ascii="Century" w:hAnsi="Century"/>
          <w:noProof/>
        </w:rPr>
        <w:t>341 U.S. 123, 142 (1951)</w:t>
      </w:r>
      <w:r w:rsidRPr="00E52611">
        <w:rPr>
          <w:rFonts w:ascii="Century" w:hAnsi="Century"/>
          <w:noProof/>
        </w:rPr>
        <w:tab/>
      </w:r>
      <w:hyperlink w:anchor="_BA_Cite_205" w:tooltip="Suspect: 341 U.S. 123, 142 (1951)" w:history="1">
        <w:r w:rsidRPr="00E52611">
          <w:rPr>
            <w:rFonts w:ascii="Century" w:hAnsi="Century"/>
            <w:noProof/>
          </w:rPr>
          <w:t>20</w:t>
        </w:r>
      </w:hyperlink>
      <w:r w:rsidRPr="00E52611">
        <w:rPr>
          <w:rFonts w:ascii="Century" w:hAnsi="Century"/>
          <w:noProof/>
        </w:rPr>
        <w:t xml:space="preserve">, </w:t>
      </w:r>
      <w:hyperlink w:anchor="_BA_Cite_206" w:tooltip="Suspect: 341 U.S. at 143" w:history="1">
        <w:r w:rsidRPr="00E52611">
          <w:rPr>
            <w:rFonts w:ascii="Century" w:hAnsi="Century"/>
            <w:noProof/>
          </w:rPr>
          <w:t>21</w:t>
        </w:r>
      </w:hyperlink>
    </w:p>
    <w:p w:rsidR="00777C43" w:rsidRPr="00E52611" w:rsidRDefault="00777C43" w:rsidP="00777C43">
      <w:pPr>
        <w:pStyle w:val="BATOAEntry"/>
        <w:spacing w:after="0"/>
        <w:rPr>
          <w:rFonts w:ascii="Century" w:hAnsi="Century"/>
          <w:noProof/>
        </w:rPr>
      </w:pPr>
    </w:p>
    <w:p w:rsidR="00E52611" w:rsidRDefault="00E52611" w:rsidP="00777C43">
      <w:pPr>
        <w:pStyle w:val="BATOAEntry"/>
        <w:spacing w:after="0"/>
        <w:rPr>
          <w:rFonts w:ascii="Century" w:hAnsi="Century"/>
          <w:noProof/>
        </w:rPr>
      </w:pPr>
      <w:r w:rsidRPr="00E52611">
        <w:rPr>
          <w:rFonts w:ascii="Century" w:hAnsi="Century"/>
          <w:i/>
          <w:iCs/>
          <w:noProof/>
        </w:rPr>
        <w:t>Marshall v. Barlow’s, Inc.</w:t>
      </w:r>
      <w:r w:rsidRPr="00E52611">
        <w:rPr>
          <w:rFonts w:ascii="Century" w:hAnsi="Century"/>
          <w:iCs/>
          <w:noProof/>
        </w:rPr>
        <w:t>,</w:t>
      </w:r>
      <w:r w:rsidRPr="00E52611">
        <w:rPr>
          <w:rFonts w:ascii="Century" w:hAnsi="Century"/>
          <w:iCs/>
          <w:noProof/>
        </w:rPr>
        <w:br/>
      </w:r>
      <w:r w:rsidRPr="00E52611">
        <w:rPr>
          <w:rFonts w:ascii="Century" w:hAnsi="Century"/>
          <w:noProof/>
        </w:rPr>
        <w:t>436 U.S. 307 (1978)</w:t>
      </w:r>
      <w:r w:rsidRPr="00E52611">
        <w:rPr>
          <w:rFonts w:ascii="Century" w:hAnsi="Century"/>
          <w:noProof/>
        </w:rPr>
        <w:tab/>
      </w:r>
      <w:hyperlink w:anchor="_BA_Cite_185" w:tooltip="Long: Marshall v. Barlow's, Inc.,  436 U.S. 307 (1978)" w:history="1">
        <w:r w:rsidRPr="00E52611">
          <w:rPr>
            <w:rFonts w:ascii="Century" w:hAnsi="Century"/>
            <w:noProof/>
          </w:rPr>
          <w:t>14</w:t>
        </w:r>
      </w:hyperlink>
    </w:p>
    <w:p w:rsidR="00EB620E" w:rsidRPr="00E52611" w:rsidRDefault="00EB620E" w:rsidP="00777C43">
      <w:pPr>
        <w:pStyle w:val="BATOAEntry"/>
        <w:spacing w:after="0"/>
        <w:rPr>
          <w:rFonts w:ascii="Century" w:hAnsi="Century"/>
          <w:noProof/>
        </w:rPr>
      </w:pPr>
    </w:p>
    <w:p w:rsidR="00E52611" w:rsidRPr="00E52611" w:rsidRDefault="00E52611" w:rsidP="00E52611">
      <w:pPr>
        <w:pStyle w:val="BATOAEntry"/>
        <w:rPr>
          <w:rFonts w:ascii="Century" w:hAnsi="Century"/>
          <w:noProof/>
        </w:rPr>
      </w:pPr>
      <w:r w:rsidRPr="00E52611">
        <w:rPr>
          <w:rFonts w:ascii="Century" w:hAnsi="Century"/>
          <w:i/>
          <w:iCs/>
          <w:noProof/>
        </w:rPr>
        <w:t>Metro. Life Ins. Co. v. Ward</w:t>
      </w:r>
      <w:r w:rsidRPr="00E52611">
        <w:rPr>
          <w:rFonts w:ascii="Century" w:hAnsi="Century"/>
          <w:iCs/>
          <w:noProof/>
        </w:rPr>
        <w:t>,</w:t>
      </w:r>
      <w:r w:rsidRPr="00E52611">
        <w:rPr>
          <w:rFonts w:ascii="Century" w:hAnsi="Century"/>
          <w:iCs/>
          <w:noProof/>
        </w:rPr>
        <w:br/>
      </w:r>
      <w:r w:rsidRPr="00E52611">
        <w:rPr>
          <w:rFonts w:ascii="Century" w:hAnsi="Century"/>
          <w:noProof/>
        </w:rPr>
        <w:t>470 U.S. 869 (1985)</w:t>
      </w:r>
      <w:r w:rsidRPr="00E52611">
        <w:rPr>
          <w:rFonts w:ascii="Century" w:hAnsi="Century"/>
          <w:noProof/>
        </w:rPr>
        <w:tab/>
      </w:r>
      <w:hyperlink w:anchor="_BA_Cite_183" w:tooltip="Long: Metro. Life Ins. Co. v. Ward,  470 U.S. 869 (1985)" w:history="1">
        <w:r w:rsidRPr="00E52611">
          <w:rPr>
            <w:rFonts w:ascii="Century" w:hAnsi="Century"/>
            <w:noProof/>
          </w:rPr>
          <w:t>14</w:t>
        </w:r>
      </w:hyperlink>
    </w:p>
    <w:p w:rsidR="00E52611" w:rsidRPr="00E52611" w:rsidRDefault="00E52611" w:rsidP="00E52611">
      <w:pPr>
        <w:pStyle w:val="BATOAEntry"/>
        <w:rPr>
          <w:rFonts w:ascii="Century" w:hAnsi="Century"/>
          <w:noProof/>
        </w:rPr>
      </w:pPr>
      <w:r w:rsidRPr="00E52611">
        <w:rPr>
          <w:rFonts w:ascii="Century" w:hAnsi="Century"/>
          <w:i/>
          <w:iCs/>
          <w:noProof/>
        </w:rPr>
        <w:t>Navegar, Inc. v. United States</w:t>
      </w:r>
      <w:r w:rsidRPr="00E52611">
        <w:rPr>
          <w:rFonts w:ascii="Century" w:hAnsi="Century"/>
          <w:iCs/>
          <w:noProof/>
        </w:rPr>
        <w:t>,</w:t>
      </w:r>
      <w:r w:rsidRPr="00E52611">
        <w:rPr>
          <w:rFonts w:ascii="Century" w:hAnsi="Century"/>
          <w:iCs/>
          <w:noProof/>
        </w:rPr>
        <w:br/>
      </w:r>
      <w:r w:rsidRPr="00E52611">
        <w:rPr>
          <w:rFonts w:ascii="Century" w:hAnsi="Century"/>
          <w:noProof/>
        </w:rPr>
        <w:t>192 F.3d 1050 (D.C. Cir. 1999)</w:t>
      </w:r>
      <w:r w:rsidRPr="00E52611">
        <w:rPr>
          <w:rFonts w:ascii="Century" w:hAnsi="Century"/>
          <w:noProof/>
        </w:rPr>
        <w:tab/>
      </w:r>
      <w:hyperlink w:anchor="_BA_Cite_176" w:tooltip="Long: Navegar, Inc. v. United States,  192 F.3d 1050 (D.C. Cir. 1999)" w:history="1">
        <w:r w:rsidRPr="00E52611">
          <w:rPr>
            <w:rFonts w:ascii="Century" w:hAnsi="Century"/>
            <w:noProof/>
          </w:rPr>
          <w:t>13</w:t>
        </w:r>
      </w:hyperlink>
      <w:r w:rsidRPr="00E52611">
        <w:rPr>
          <w:rFonts w:ascii="Century" w:hAnsi="Century"/>
          <w:noProof/>
        </w:rPr>
        <w:t xml:space="preserve">, </w:t>
      </w:r>
      <w:hyperlink w:anchor="_BA_Cite_247" w:tooltip="Short: Navegar, 192 F.3d at 1067-68" w:history="1">
        <w:r w:rsidRPr="00E52611">
          <w:rPr>
            <w:rFonts w:ascii="Century" w:hAnsi="Century"/>
            <w:noProof/>
          </w:rPr>
          <w:t>37</w:t>
        </w:r>
      </w:hyperlink>
    </w:p>
    <w:p w:rsidR="00E52611" w:rsidRPr="00E52611" w:rsidRDefault="00E52611" w:rsidP="00E52611">
      <w:pPr>
        <w:pStyle w:val="BATOAEntry"/>
        <w:rPr>
          <w:rFonts w:ascii="Century" w:hAnsi="Century"/>
          <w:noProof/>
        </w:rPr>
      </w:pPr>
      <w:r w:rsidRPr="00E52611">
        <w:rPr>
          <w:rFonts w:ascii="Century" w:hAnsi="Century"/>
          <w:i/>
          <w:iCs/>
          <w:noProof/>
        </w:rPr>
        <w:t>Nixon v. Adm’r of Gen. Servs.</w:t>
      </w:r>
      <w:r w:rsidRPr="00E52611">
        <w:rPr>
          <w:rFonts w:ascii="Century" w:hAnsi="Century"/>
          <w:iCs/>
          <w:noProof/>
        </w:rPr>
        <w:t>,</w:t>
      </w:r>
      <w:r w:rsidRPr="00E52611">
        <w:rPr>
          <w:rFonts w:ascii="Century" w:hAnsi="Century"/>
          <w:iCs/>
          <w:noProof/>
        </w:rPr>
        <w:br/>
      </w:r>
      <w:r w:rsidRPr="00E52611">
        <w:rPr>
          <w:rFonts w:ascii="Century" w:hAnsi="Century"/>
          <w:noProof/>
        </w:rPr>
        <w:t>433 U.S. 425 (1977)</w:t>
      </w:r>
      <w:r w:rsidRPr="00E52611">
        <w:rPr>
          <w:rFonts w:ascii="Century" w:hAnsi="Century"/>
          <w:noProof/>
        </w:rPr>
        <w:tab/>
      </w:r>
      <w:hyperlink w:anchor="_BA_Cite_164" w:tooltip="Long: Nixon v. Adm'r of Gen. Servs.,  433 U.S. 425 (1977)" w:history="1">
        <w:r w:rsidRPr="00E52611">
          <w:rPr>
            <w:rFonts w:ascii="Century" w:hAnsi="Century"/>
            <w:noProof/>
          </w:rPr>
          <w:t>passim</w:t>
        </w:r>
      </w:hyperlink>
    </w:p>
    <w:p w:rsidR="00E52611" w:rsidRPr="00E52611" w:rsidRDefault="00E52611" w:rsidP="00E52611">
      <w:pPr>
        <w:pStyle w:val="BATOAEntry"/>
        <w:rPr>
          <w:rFonts w:ascii="Century" w:hAnsi="Century"/>
          <w:noProof/>
        </w:rPr>
      </w:pPr>
      <w:r w:rsidRPr="00E52611">
        <w:rPr>
          <w:rFonts w:ascii="Century" w:hAnsi="Century"/>
          <w:i/>
          <w:noProof/>
        </w:rPr>
        <w:t>Pierce v. Carskadon</w:t>
      </w:r>
      <w:r w:rsidRPr="00E52611">
        <w:rPr>
          <w:rFonts w:ascii="Century" w:hAnsi="Century"/>
          <w:noProof/>
        </w:rPr>
        <w:t>,</w:t>
      </w:r>
      <w:r w:rsidRPr="00E52611">
        <w:rPr>
          <w:rFonts w:ascii="Century" w:hAnsi="Century"/>
          <w:noProof/>
        </w:rPr>
        <w:br/>
        <w:t>83 U.S. 234 (1872)</w:t>
      </w:r>
      <w:r w:rsidRPr="00E52611">
        <w:rPr>
          <w:rFonts w:ascii="Century" w:hAnsi="Century"/>
          <w:noProof/>
        </w:rPr>
        <w:tab/>
      </w:r>
      <w:hyperlink w:anchor="_BA_Cite_199" w:tooltip="Long: Pierce v. Carskadon,  83 U.S. 234 (1872)" w:history="1">
        <w:r w:rsidRPr="00E52611">
          <w:rPr>
            <w:rFonts w:ascii="Century" w:hAnsi="Century"/>
            <w:noProof/>
          </w:rPr>
          <w:t>17</w:t>
        </w:r>
      </w:hyperlink>
    </w:p>
    <w:p w:rsidR="00E52611" w:rsidRPr="00E52611" w:rsidRDefault="00E52611" w:rsidP="00E52611">
      <w:pPr>
        <w:pStyle w:val="BATOAEntry"/>
        <w:rPr>
          <w:rFonts w:ascii="Century" w:hAnsi="Century"/>
          <w:noProof/>
        </w:rPr>
      </w:pPr>
      <w:r w:rsidRPr="00E52611">
        <w:rPr>
          <w:rFonts w:ascii="Century" w:hAnsi="Century"/>
          <w:i/>
          <w:noProof/>
        </w:rPr>
        <w:t>Planned Parenthood of Central North Carolina v. Cansler</w:t>
      </w:r>
      <w:r w:rsidRPr="00E52611">
        <w:rPr>
          <w:rFonts w:ascii="Century" w:hAnsi="Century"/>
          <w:noProof/>
        </w:rPr>
        <w:t>,</w:t>
      </w:r>
      <w:r w:rsidRPr="00E52611">
        <w:rPr>
          <w:rFonts w:ascii="Century" w:hAnsi="Century"/>
          <w:noProof/>
        </w:rPr>
        <w:br/>
        <w:t>804 F. Supp. 2d 482 (M.D.N.C. 2011)</w:t>
      </w:r>
      <w:r w:rsidRPr="00E52611">
        <w:rPr>
          <w:rFonts w:ascii="Century" w:hAnsi="Century"/>
          <w:noProof/>
        </w:rPr>
        <w:tab/>
      </w:r>
      <w:hyperlink w:anchor="_BA_Cite_227" w:tooltip="Long: Planned Parenthood of Central North Carolina v. Cansler,  804 F. Supp. 2d 482 (M.D.N.C. 2011)" w:history="1">
        <w:r w:rsidRPr="00E52611">
          <w:rPr>
            <w:rFonts w:ascii="Century" w:hAnsi="Century"/>
            <w:noProof/>
          </w:rPr>
          <w:t>passim</w:t>
        </w:r>
      </w:hyperlink>
    </w:p>
    <w:p w:rsidR="00E52611" w:rsidRPr="00E52611" w:rsidRDefault="00E52611" w:rsidP="00E52611">
      <w:pPr>
        <w:pStyle w:val="BATOAEntry"/>
        <w:rPr>
          <w:rFonts w:ascii="Century" w:hAnsi="Century"/>
          <w:noProof/>
        </w:rPr>
      </w:pPr>
      <w:r w:rsidRPr="00E52611">
        <w:rPr>
          <w:rFonts w:ascii="Century" w:hAnsi="Century"/>
          <w:i/>
          <w:noProof/>
        </w:rPr>
        <w:t>Planned Parenthood of Mid. Mo. &amp; E. Kan. v. Dempsey</w:t>
      </w:r>
      <w:r w:rsidRPr="00E52611">
        <w:rPr>
          <w:rFonts w:ascii="Century" w:hAnsi="Century"/>
          <w:noProof/>
        </w:rPr>
        <w:t>,</w:t>
      </w:r>
      <w:r w:rsidRPr="00E52611">
        <w:rPr>
          <w:rFonts w:ascii="Century" w:hAnsi="Century"/>
          <w:noProof/>
        </w:rPr>
        <w:br/>
        <w:t>167 F.3d 458 (8th Cir. 1999)</w:t>
      </w:r>
      <w:r w:rsidRPr="00E52611">
        <w:rPr>
          <w:rFonts w:ascii="Century" w:hAnsi="Century"/>
          <w:noProof/>
        </w:rPr>
        <w:tab/>
      </w:r>
      <w:hyperlink w:anchor="_BA_Cite_225" w:tooltip="Long: Planned Parenthood of Mid. Mo. &amp; E. Kan. v. Dempsey,  167 F.3d 458 (8th Cir. 1999)" w:history="1">
        <w:r w:rsidRPr="00E52611">
          <w:rPr>
            <w:rFonts w:ascii="Century" w:hAnsi="Century"/>
            <w:noProof/>
          </w:rPr>
          <w:t>27</w:t>
        </w:r>
      </w:hyperlink>
      <w:r w:rsidRPr="00E52611">
        <w:rPr>
          <w:rFonts w:ascii="Century" w:hAnsi="Century"/>
          <w:noProof/>
        </w:rPr>
        <w:t>,</w:t>
      </w:r>
      <w:hyperlink w:anchor="_BA_Cite_226" w:tooltip="Short: Dempsey" w:history="1">
        <w:r w:rsidRPr="00E52611">
          <w:rPr>
            <w:rFonts w:ascii="Century" w:hAnsi="Century"/>
            <w:noProof/>
          </w:rPr>
          <w:t xml:space="preserve"> 28</w:t>
        </w:r>
      </w:hyperlink>
      <w:r w:rsidRPr="00E52611">
        <w:rPr>
          <w:rFonts w:ascii="Century" w:hAnsi="Century"/>
          <w:noProof/>
        </w:rPr>
        <w:t xml:space="preserve">, </w:t>
      </w:r>
      <w:hyperlink w:anchor="_BA_Cite_228" w:tooltip="Short: Dempsey" w:history="1">
        <w:r w:rsidRPr="00E52611">
          <w:rPr>
            <w:rFonts w:ascii="Century" w:hAnsi="Century"/>
            <w:noProof/>
          </w:rPr>
          <w:t>29</w:t>
        </w:r>
      </w:hyperlink>
    </w:p>
    <w:p w:rsidR="00E52611" w:rsidRPr="00E52611" w:rsidRDefault="00E52611" w:rsidP="00E52611">
      <w:pPr>
        <w:pStyle w:val="BATOAEntry"/>
        <w:rPr>
          <w:rFonts w:ascii="Century" w:hAnsi="Century"/>
          <w:noProof/>
        </w:rPr>
      </w:pPr>
      <w:r w:rsidRPr="00E52611">
        <w:rPr>
          <w:rFonts w:ascii="Century" w:hAnsi="Century"/>
          <w:i/>
          <w:iCs/>
          <w:noProof/>
        </w:rPr>
        <w:t>Plaut v. Spendthrift Farm, Inc.</w:t>
      </w:r>
      <w:r w:rsidRPr="00E52611">
        <w:rPr>
          <w:rFonts w:ascii="Century" w:hAnsi="Century"/>
          <w:iCs/>
          <w:noProof/>
        </w:rPr>
        <w:t>,</w:t>
      </w:r>
      <w:r w:rsidRPr="00E52611">
        <w:rPr>
          <w:rFonts w:ascii="Century" w:hAnsi="Century"/>
          <w:iCs/>
          <w:noProof/>
        </w:rPr>
        <w:br/>
      </w:r>
      <w:r w:rsidRPr="00E52611">
        <w:rPr>
          <w:rFonts w:ascii="Century" w:hAnsi="Century"/>
          <w:noProof/>
        </w:rPr>
        <w:t>514 U.S. 211 (1995)</w:t>
      </w:r>
      <w:r w:rsidRPr="00E52611">
        <w:rPr>
          <w:rFonts w:ascii="Century" w:hAnsi="Century"/>
          <w:noProof/>
        </w:rPr>
        <w:tab/>
      </w:r>
      <w:hyperlink w:anchor="_BA_Cite_173" w:tooltip="Long: Plaut v. Spendthrift Farm, Inc.,  514 U.S. 211 (1995)" w:history="1">
        <w:r w:rsidRPr="00E52611">
          <w:rPr>
            <w:rFonts w:ascii="Century" w:hAnsi="Century"/>
            <w:noProof/>
          </w:rPr>
          <w:t>13</w:t>
        </w:r>
      </w:hyperlink>
    </w:p>
    <w:p w:rsidR="00E52611" w:rsidRPr="00E52611" w:rsidRDefault="00E52611" w:rsidP="00E52611">
      <w:pPr>
        <w:pStyle w:val="BATOAEntry"/>
        <w:rPr>
          <w:rFonts w:ascii="Century" w:hAnsi="Century"/>
          <w:noProof/>
        </w:rPr>
      </w:pPr>
      <w:r w:rsidRPr="00E52611">
        <w:rPr>
          <w:rFonts w:ascii="Century" w:hAnsi="Century"/>
          <w:i/>
          <w:iCs/>
          <w:noProof/>
        </w:rPr>
        <w:t>SBC Commc’ns, Inc. v. FCC</w:t>
      </w:r>
      <w:r w:rsidRPr="00E52611">
        <w:rPr>
          <w:rFonts w:ascii="Century" w:hAnsi="Century"/>
          <w:iCs/>
          <w:noProof/>
        </w:rPr>
        <w:t>,</w:t>
      </w:r>
      <w:r w:rsidRPr="00E52611">
        <w:rPr>
          <w:rFonts w:ascii="Century" w:hAnsi="Century"/>
          <w:iCs/>
          <w:noProof/>
        </w:rPr>
        <w:br/>
      </w:r>
      <w:r w:rsidRPr="00E52611">
        <w:rPr>
          <w:rFonts w:ascii="Century" w:hAnsi="Century"/>
          <w:noProof/>
        </w:rPr>
        <w:t>154 F.3d 226 (5th Cir.1998)</w:t>
      </w:r>
      <w:r w:rsidRPr="00E52611">
        <w:rPr>
          <w:rFonts w:ascii="Century" w:hAnsi="Century"/>
          <w:noProof/>
        </w:rPr>
        <w:tab/>
      </w:r>
      <w:hyperlink w:anchor="_BA_Cite_177" w:tooltip="Long: SBC Commc'ns, Inc. v. FCC,  154 F.3d 226 (5th Cir.1998)" w:history="1">
        <w:r w:rsidRPr="00E52611">
          <w:rPr>
            <w:rFonts w:ascii="Century" w:hAnsi="Century"/>
            <w:noProof/>
          </w:rPr>
          <w:t>passim</w:t>
        </w:r>
      </w:hyperlink>
    </w:p>
    <w:p w:rsidR="00E52611" w:rsidRPr="00E52611" w:rsidRDefault="00E52611" w:rsidP="00E52611">
      <w:pPr>
        <w:pStyle w:val="BATOAEntry"/>
        <w:rPr>
          <w:rFonts w:ascii="Century" w:hAnsi="Century"/>
          <w:noProof/>
        </w:rPr>
      </w:pPr>
      <w:r w:rsidRPr="00E52611">
        <w:rPr>
          <w:rFonts w:ascii="Century" w:hAnsi="Century"/>
          <w:i/>
          <w:noProof/>
        </w:rPr>
        <w:t>Schellong v. INS</w:t>
      </w:r>
      <w:r w:rsidRPr="00E52611">
        <w:rPr>
          <w:rFonts w:ascii="Century" w:hAnsi="Century"/>
          <w:noProof/>
        </w:rPr>
        <w:t>,</w:t>
      </w:r>
      <w:r w:rsidRPr="00E52611">
        <w:rPr>
          <w:rFonts w:ascii="Century" w:hAnsi="Century"/>
          <w:noProof/>
        </w:rPr>
        <w:br/>
        <w:t>805 F.2d 655 (7th Cir. 1986)</w:t>
      </w:r>
      <w:r w:rsidRPr="00E52611">
        <w:rPr>
          <w:rFonts w:ascii="Century" w:hAnsi="Century"/>
          <w:noProof/>
        </w:rPr>
        <w:tab/>
      </w:r>
      <w:hyperlink w:anchor="_BA_Cite_193" w:tooltip="Long: Schellong v. INS,  805 F.2d 655 (7th Cir. 1986)" w:history="1">
        <w:r w:rsidRPr="00E52611">
          <w:rPr>
            <w:rFonts w:ascii="Century" w:hAnsi="Century"/>
            <w:noProof/>
          </w:rPr>
          <w:t>16</w:t>
        </w:r>
      </w:hyperlink>
    </w:p>
    <w:p w:rsidR="00E52611" w:rsidRPr="00E52611" w:rsidRDefault="00E52611" w:rsidP="00E52611">
      <w:pPr>
        <w:pStyle w:val="BATOAEntry"/>
        <w:rPr>
          <w:rFonts w:ascii="Century" w:hAnsi="Century"/>
          <w:noProof/>
        </w:rPr>
      </w:pPr>
      <w:r w:rsidRPr="00E52611">
        <w:rPr>
          <w:rFonts w:ascii="Century" w:hAnsi="Century"/>
          <w:i/>
          <w:noProof/>
        </w:rPr>
        <w:t>SeaRiver Mar. Fin. Holdings, Inc., v. Mineta</w:t>
      </w:r>
      <w:r w:rsidRPr="00E52611">
        <w:rPr>
          <w:rFonts w:ascii="Century" w:hAnsi="Century"/>
          <w:noProof/>
        </w:rPr>
        <w:t>,</w:t>
      </w:r>
      <w:r w:rsidRPr="00E52611">
        <w:rPr>
          <w:rFonts w:ascii="Century" w:hAnsi="Century"/>
          <w:noProof/>
        </w:rPr>
        <w:br/>
        <w:t>309 F.3d 662 (9th Cir. 2002)</w:t>
      </w:r>
      <w:r w:rsidRPr="00E52611">
        <w:rPr>
          <w:rFonts w:ascii="Century" w:hAnsi="Century"/>
          <w:noProof/>
        </w:rPr>
        <w:tab/>
      </w:r>
      <w:hyperlink w:anchor="_BA_Cite_178" w:tooltip="Long: SeaRiver Mar. Fin. Holdings, Inc., v. Mineta,  309 F.3d 662 (9th Cir. 2002)" w:history="1">
        <w:r w:rsidRPr="00E52611">
          <w:rPr>
            <w:rFonts w:ascii="Century" w:hAnsi="Century"/>
            <w:noProof/>
          </w:rPr>
          <w:t>13</w:t>
        </w:r>
      </w:hyperlink>
    </w:p>
    <w:p w:rsidR="00E52611" w:rsidRPr="00E52611" w:rsidRDefault="00E52611" w:rsidP="00E52611">
      <w:pPr>
        <w:pStyle w:val="BATOAEntry"/>
        <w:rPr>
          <w:rFonts w:ascii="Century" w:hAnsi="Century"/>
          <w:noProof/>
        </w:rPr>
      </w:pPr>
      <w:r w:rsidRPr="00E52611">
        <w:rPr>
          <w:rFonts w:ascii="Century" w:hAnsi="Century"/>
          <w:i/>
          <w:noProof/>
        </w:rPr>
        <w:lastRenderedPageBreak/>
        <w:t>Selective Serv. Sys. v. Minn. Pub. Interest Research Group.</w:t>
      </w:r>
      <w:r w:rsidRPr="00E52611">
        <w:rPr>
          <w:rFonts w:ascii="Century" w:hAnsi="Century"/>
          <w:noProof/>
        </w:rPr>
        <w:t xml:space="preserve">, </w:t>
      </w:r>
      <w:r w:rsidRPr="00E52611">
        <w:rPr>
          <w:rFonts w:ascii="Century" w:hAnsi="Century"/>
          <w:noProof/>
        </w:rPr>
        <w:br/>
        <w:t>468 U.S. 841 (1984)</w:t>
      </w:r>
      <w:r w:rsidRPr="00E52611">
        <w:rPr>
          <w:rFonts w:ascii="Century" w:hAnsi="Century"/>
          <w:noProof/>
        </w:rPr>
        <w:tab/>
      </w:r>
      <w:hyperlink w:anchor="_BA_Cite_166" w:tooltip="Long: Selective Serv. Sys. v. Minn. Pub. Interest Research Group.,  468 U.S. 841 (1984)" w:history="1">
        <w:r w:rsidRPr="00E52611">
          <w:rPr>
            <w:rFonts w:ascii="Century" w:hAnsi="Century"/>
            <w:noProof/>
          </w:rPr>
          <w:t>passim</w:t>
        </w:r>
      </w:hyperlink>
    </w:p>
    <w:p w:rsidR="00E52611" w:rsidRPr="00E52611" w:rsidRDefault="00E52611" w:rsidP="00E52611">
      <w:pPr>
        <w:pStyle w:val="BATOAEntry"/>
        <w:rPr>
          <w:rFonts w:ascii="Century" w:hAnsi="Century"/>
          <w:noProof/>
        </w:rPr>
      </w:pPr>
      <w:r w:rsidRPr="00E52611">
        <w:rPr>
          <w:rFonts w:ascii="Century" w:hAnsi="Century"/>
          <w:i/>
          <w:iCs/>
          <w:noProof/>
        </w:rPr>
        <w:t>South Carolina v. Katzenbach</w:t>
      </w:r>
      <w:r w:rsidRPr="00E52611">
        <w:rPr>
          <w:rFonts w:ascii="Century" w:hAnsi="Century"/>
          <w:iCs/>
          <w:noProof/>
        </w:rPr>
        <w:t>,</w:t>
      </w:r>
      <w:r w:rsidRPr="00E52611">
        <w:rPr>
          <w:rFonts w:ascii="Century" w:hAnsi="Century"/>
          <w:iCs/>
          <w:noProof/>
        </w:rPr>
        <w:br/>
      </w:r>
      <w:r w:rsidRPr="00E52611">
        <w:rPr>
          <w:rFonts w:ascii="Century" w:hAnsi="Century"/>
          <w:noProof/>
        </w:rPr>
        <w:t>383 U.S. 301 (1966)</w:t>
      </w:r>
      <w:r w:rsidRPr="00E52611">
        <w:rPr>
          <w:rFonts w:ascii="Century" w:hAnsi="Century"/>
          <w:noProof/>
        </w:rPr>
        <w:tab/>
      </w:r>
      <w:hyperlink w:anchor="_BA_Cite_160" w:tooltip="Long: South Carolina v. Katzenbach,  383 U.S. 301 (1966)" w:history="1">
        <w:r w:rsidRPr="00E52611">
          <w:rPr>
            <w:rFonts w:ascii="Century" w:hAnsi="Century"/>
            <w:noProof/>
          </w:rPr>
          <w:t>8</w:t>
        </w:r>
      </w:hyperlink>
      <w:r w:rsidRPr="00E52611">
        <w:rPr>
          <w:rFonts w:ascii="Century" w:hAnsi="Century"/>
          <w:noProof/>
        </w:rPr>
        <w:t xml:space="preserve">, </w:t>
      </w:r>
      <w:hyperlink w:anchor="_BA_Cite_172" w:tooltip="Short: South Carolina v. Katzenbach, 383 U.S. 301, 324 (1966)" w:history="1">
        <w:r w:rsidRPr="00E52611">
          <w:rPr>
            <w:rFonts w:ascii="Century" w:hAnsi="Century"/>
            <w:noProof/>
          </w:rPr>
          <w:t>13</w:t>
        </w:r>
      </w:hyperlink>
    </w:p>
    <w:p w:rsidR="00E52611" w:rsidRPr="00E52611" w:rsidRDefault="00E52611" w:rsidP="00E52611">
      <w:pPr>
        <w:pStyle w:val="BATOAEntry"/>
        <w:rPr>
          <w:rFonts w:ascii="Century" w:hAnsi="Century"/>
          <w:noProof/>
        </w:rPr>
      </w:pPr>
      <w:r w:rsidRPr="00E52611">
        <w:rPr>
          <w:rFonts w:ascii="Century" w:hAnsi="Century"/>
          <w:i/>
          <w:noProof/>
        </w:rPr>
        <w:t>United States v. Brown</w:t>
      </w:r>
      <w:r w:rsidRPr="00E52611">
        <w:rPr>
          <w:rFonts w:ascii="Century" w:hAnsi="Century"/>
          <w:noProof/>
        </w:rPr>
        <w:t>,</w:t>
      </w:r>
      <w:r w:rsidRPr="00E52611">
        <w:rPr>
          <w:rFonts w:ascii="Century" w:hAnsi="Century"/>
          <w:noProof/>
        </w:rPr>
        <w:br/>
        <w:t>381 U.S.437 (1965)</w:t>
      </w:r>
      <w:r w:rsidRPr="00E52611">
        <w:rPr>
          <w:rFonts w:ascii="Century" w:hAnsi="Century"/>
          <w:noProof/>
        </w:rPr>
        <w:tab/>
      </w:r>
      <w:hyperlink w:anchor="_BA_Cite_165" w:tooltip="Long: United States v. Brown,  381 U.S.437 (1965)" w:history="1">
        <w:r w:rsidRPr="00E52611">
          <w:rPr>
            <w:rFonts w:ascii="Century" w:hAnsi="Century"/>
            <w:noProof/>
          </w:rPr>
          <w:t>passim</w:t>
        </w:r>
      </w:hyperlink>
    </w:p>
    <w:p w:rsidR="00E52611" w:rsidRPr="00E52611" w:rsidRDefault="00E52611" w:rsidP="00E52611">
      <w:pPr>
        <w:pStyle w:val="BATOAEntry"/>
        <w:rPr>
          <w:rFonts w:ascii="Century" w:hAnsi="Century"/>
          <w:noProof/>
        </w:rPr>
      </w:pPr>
      <w:r w:rsidRPr="00E52611">
        <w:rPr>
          <w:rFonts w:ascii="Century" w:hAnsi="Century"/>
          <w:i/>
          <w:noProof/>
        </w:rPr>
        <w:t>United States v. Lovett</w:t>
      </w:r>
      <w:r w:rsidRPr="00E52611">
        <w:rPr>
          <w:rFonts w:ascii="Century" w:hAnsi="Century"/>
          <w:noProof/>
        </w:rPr>
        <w:t>,</w:t>
      </w:r>
      <w:r w:rsidRPr="00E52611">
        <w:rPr>
          <w:rFonts w:ascii="Century" w:hAnsi="Century"/>
          <w:noProof/>
        </w:rPr>
        <w:br/>
        <w:t>328 U.S. 303 (1946)</w:t>
      </w:r>
      <w:r w:rsidRPr="00E52611">
        <w:rPr>
          <w:rFonts w:ascii="Century" w:hAnsi="Century"/>
          <w:noProof/>
        </w:rPr>
        <w:tab/>
      </w:r>
      <w:hyperlink w:anchor="_BA_Cite_190" w:tooltip="Long: United States v. Lovett,  328 U.S. 303 (1946)" w:history="1">
        <w:r w:rsidRPr="00E52611">
          <w:rPr>
            <w:rFonts w:ascii="Century" w:hAnsi="Century"/>
            <w:noProof/>
          </w:rPr>
          <w:t>passim</w:t>
        </w:r>
      </w:hyperlink>
    </w:p>
    <w:p w:rsidR="00E52611" w:rsidRPr="00E52611" w:rsidRDefault="00E52611" w:rsidP="00E52611">
      <w:pPr>
        <w:pStyle w:val="BATOAEntry"/>
        <w:rPr>
          <w:rFonts w:ascii="Century" w:hAnsi="Century"/>
          <w:noProof/>
        </w:rPr>
      </w:pPr>
      <w:r w:rsidRPr="00E52611">
        <w:rPr>
          <w:rFonts w:ascii="Century" w:hAnsi="Century"/>
          <w:i/>
          <w:iCs/>
          <w:noProof/>
        </w:rPr>
        <w:t>United States v. Martin Linen Supply Co.</w:t>
      </w:r>
      <w:r w:rsidRPr="00E52611">
        <w:rPr>
          <w:rFonts w:ascii="Century" w:hAnsi="Century"/>
          <w:iCs/>
          <w:noProof/>
        </w:rPr>
        <w:t>,</w:t>
      </w:r>
      <w:r w:rsidRPr="00E52611">
        <w:rPr>
          <w:rFonts w:ascii="Century" w:hAnsi="Century"/>
          <w:iCs/>
          <w:noProof/>
        </w:rPr>
        <w:br/>
      </w:r>
      <w:r w:rsidRPr="00E52611">
        <w:rPr>
          <w:rFonts w:ascii="Century" w:hAnsi="Century"/>
          <w:noProof/>
        </w:rPr>
        <w:t>430 U.S. 564 (1977)</w:t>
      </w:r>
      <w:r w:rsidRPr="00E52611">
        <w:rPr>
          <w:rFonts w:ascii="Century" w:hAnsi="Century"/>
          <w:noProof/>
        </w:rPr>
        <w:tab/>
      </w:r>
      <w:hyperlink w:anchor="_BA_Cite_184" w:tooltip="Long: United States v. Martin Linen Supply Co.,  430 U.S. 564 (1977)" w:history="1">
        <w:r w:rsidRPr="00E52611">
          <w:rPr>
            <w:rFonts w:ascii="Century" w:hAnsi="Century"/>
            <w:noProof/>
          </w:rPr>
          <w:t>14</w:t>
        </w:r>
      </w:hyperlink>
    </w:p>
    <w:p w:rsidR="00E52611" w:rsidRPr="00E52611" w:rsidRDefault="00E52611" w:rsidP="00E52611">
      <w:pPr>
        <w:pStyle w:val="BATOAEntry"/>
        <w:rPr>
          <w:rFonts w:ascii="Century" w:hAnsi="Century"/>
          <w:noProof/>
        </w:rPr>
      </w:pPr>
      <w:r w:rsidRPr="00E52611">
        <w:rPr>
          <w:rFonts w:ascii="Century" w:hAnsi="Century"/>
          <w:i/>
          <w:noProof/>
        </w:rPr>
        <w:t>United States v. Morton Salt Co.</w:t>
      </w:r>
      <w:r w:rsidRPr="00E52611">
        <w:rPr>
          <w:rFonts w:ascii="Century" w:hAnsi="Century"/>
          <w:noProof/>
        </w:rPr>
        <w:t>,</w:t>
      </w:r>
      <w:r w:rsidRPr="00E52611">
        <w:rPr>
          <w:rFonts w:ascii="Century" w:hAnsi="Century"/>
          <w:noProof/>
        </w:rPr>
        <w:br/>
        <w:t>338 U.S. 632 (1950)</w:t>
      </w:r>
      <w:r w:rsidRPr="00E52611">
        <w:rPr>
          <w:rFonts w:ascii="Century" w:hAnsi="Century"/>
          <w:noProof/>
        </w:rPr>
        <w:tab/>
      </w:r>
      <w:hyperlink w:anchor="_BA_Cite_187" w:tooltip="Long: United States v. Morton Salt Co.,  338 U.S. 632 (1950)" w:history="1">
        <w:r w:rsidRPr="00E52611">
          <w:rPr>
            <w:rFonts w:ascii="Century" w:hAnsi="Century"/>
            <w:noProof/>
          </w:rPr>
          <w:t>14</w:t>
        </w:r>
      </w:hyperlink>
    </w:p>
    <w:p w:rsidR="00E52611" w:rsidRPr="00E52611" w:rsidRDefault="00E52611" w:rsidP="00E52611">
      <w:pPr>
        <w:pStyle w:val="BATOAEntry"/>
        <w:rPr>
          <w:rFonts w:ascii="Century" w:hAnsi="Century"/>
          <w:noProof/>
        </w:rPr>
      </w:pPr>
      <w:r w:rsidRPr="00E52611">
        <w:rPr>
          <w:rFonts w:ascii="Century" w:hAnsi="Century"/>
          <w:i/>
          <w:noProof/>
        </w:rPr>
        <w:t>Wilson v. United States</w:t>
      </w:r>
      <w:r w:rsidRPr="00E52611">
        <w:rPr>
          <w:rFonts w:ascii="Century" w:hAnsi="Century"/>
          <w:noProof/>
        </w:rPr>
        <w:t>,</w:t>
      </w:r>
      <w:r w:rsidRPr="00E52611">
        <w:rPr>
          <w:rFonts w:ascii="Century" w:hAnsi="Century"/>
          <w:noProof/>
        </w:rPr>
        <w:br/>
        <w:t>221 U.S. 361 (1911)</w:t>
      </w:r>
      <w:r w:rsidRPr="00E52611">
        <w:rPr>
          <w:rFonts w:ascii="Century" w:hAnsi="Century"/>
          <w:noProof/>
        </w:rPr>
        <w:tab/>
      </w:r>
      <w:hyperlink w:anchor="_BA_Cite_186" w:tooltip="Long: Wilson v. United States,  221 U.S. 361 (1911)" w:history="1">
        <w:r w:rsidRPr="00E52611">
          <w:rPr>
            <w:rFonts w:ascii="Century" w:hAnsi="Century"/>
            <w:noProof/>
          </w:rPr>
          <w:t>14</w:t>
        </w:r>
      </w:hyperlink>
    </w:p>
    <w:p w:rsidR="00E52611" w:rsidRPr="00E52611" w:rsidRDefault="00E52611" w:rsidP="00E52611">
      <w:pPr>
        <w:pStyle w:val="BATOAHeading"/>
        <w:rPr>
          <w:rFonts w:ascii="Century" w:hAnsi="Century"/>
          <w:noProof/>
        </w:rPr>
      </w:pPr>
      <w:bookmarkStart w:id="4" w:name="_BA95XTOA95Statutes"/>
      <w:bookmarkEnd w:id="3"/>
      <w:r w:rsidRPr="00E52611">
        <w:rPr>
          <w:rFonts w:ascii="Century" w:hAnsi="Century"/>
          <w:noProof/>
        </w:rPr>
        <w:t>Statutes</w:t>
      </w:r>
      <w:r>
        <w:rPr>
          <w:rFonts w:ascii="Century" w:hAnsi="Century"/>
          <w:noProof/>
        </w:rPr>
        <w:t xml:space="preserve"> and Regulations</w:t>
      </w:r>
    </w:p>
    <w:p w:rsidR="00E52611" w:rsidRPr="00E52611" w:rsidRDefault="00E52611" w:rsidP="00E52611">
      <w:pPr>
        <w:pStyle w:val="BATOAEntry"/>
        <w:rPr>
          <w:rFonts w:ascii="Century" w:hAnsi="Century"/>
          <w:noProof/>
        </w:rPr>
      </w:pPr>
      <w:r w:rsidRPr="00E52611">
        <w:rPr>
          <w:rFonts w:ascii="Century" w:hAnsi="Century"/>
          <w:noProof/>
        </w:rPr>
        <w:t>U.S. Const. Art. I, §§ 9-10</w:t>
      </w:r>
      <w:r w:rsidRPr="00E52611">
        <w:rPr>
          <w:rFonts w:ascii="Century" w:hAnsi="Century"/>
          <w:noProof/>
        </w:rPr>
        <w:tab/>
      </w:r>
      <w:hyperlink w:anchor="_BA_Cite_158" w:tooltip="Long: U.S. Const. Art. I, §§ 9-10" w:history="1">
        <w:r w:rsidRPr="00E52611">
          <w:rPr>
            <w:rFonts w:ascii="Century" w:hAnsi="Century"/>
            <w:noProof/>
          </w:rPr>
          <w:t>8</w:t>
        </w:r>
      </w:hyperlink>
      <w:r w:rsidRPr="00E52611">
        <w:rPr>
          <w:rFonts w:ascii="Century" w:hAnsi="Century"/>
          <w:noProof/>
        </w:rPr>
        <w:t xml:space="preserve">, </w:t>
      </w:r>
      <w:hyperlink w:anchor="_BA_Cite_161" w:tooltip="Short: U.S. Const. Art. I §§ 9-10" w:history="1">
        <w:r w:rsidRPr="00E52611">
          <w:rPr>
            <w:rFonts w:ascii="Century" w:hAnsi="Century"/>
            <w:noProof/>
          </w:rPr>
          <w:t>11</w:t>
        </w:r>
      </w:hyperlink>
    </w:p>
    <w:p w:rsidR="00E52611" w:rsidRDefault="00E52611" w:rsidP="00E52611">
      <w:pPr>
        <w:pStyle w:val="BATOAEntry"/>
        <w:rPr>
          <w:rFonts w:ascii="Century" w:hAnsi="Century"/>
          <w:noProof/>
        </w:rPr>
      </w:pPr>
      <w:r w:rsidRPr="00E52611">
        <w:rPr>
          <w:rFonts w:ascii="Century" w:hAnsi="Century"/>
          <w:noProof/>
        </w:rPr>
        <w:t>2 C.F.R. Ch. 1, Part 180, 180.705</w:t>
      </w:r>
      <w:r w:rsidRPr="00E52611">
        <w:rPr>
          <w:rFonts w:ascii="Century" w:hAnsi="Century"/>
          <w:noProof/>
        </w:rPr>
        <w:tab/>
      </w:r>
      <w:hyperlink w:anchor="_BA_Cite_244" w:tooltip="Long: 2 C.F.R. Ch. 1, Part 180, 180.705" w:history="1">
        <w:r w:rsidRPr="00E52611">
          <w:rPr>
            <w:rFonts w:ascii="Century" w:hAnsi="Century"/>
            <w:noProof/>
          </w:rPr>
          <w:t>35</w:t>
        </w:r>
      </w:hyperlink>
    </w:p>
    <w:p w:rsidR="00761F8B" w:rsidRPr="00E52611" w:rsidRDefault="00761F8B" w:rsidP="00761F8B">
      <w:pPr>
        <w:pStyle w:val="BATOAEntry"/>
        <w:rPr>
          <w:rFonts w:ascii="Century" w:hAnsi="Century"/>
          <w:noProof/>
        </w:rPr>
      </w:pPr>
      <w:r>
        <w:rPr>
          <w:rFonts w:ascii="Century" w:hAnsi="Century"/>
          <w:noProof/>
        </w:rPr>
        <w:t>Text of appropriations laws</w:t>
      </w:r>
      <w:r w:rsidRPr="00E52611">
        <w:rPr>
          <w:rFonts w:ascii="Century" w:hAnsi="Century"/>
          <w:noProof/>
        </w:rPr>
        <w:tab/>
      </w:r>
      <w:r>
        <w:rPr>
          <w:rFonts w:ascii="Century" w:hAnsi="Century"/>
          <w:noProof/>
        </w:rPr>
        <w:t>A-1</w:t>
      </w:r>
    </w:p>
    <w:p w:rsidR="00E52611" w:rsidRPr="00E52611" w:rsidRDefault="00E52611" w:rsidP="00E52611">
      <w:pPr>
        <w:pStyle w:val="BATOAHeading"/>
        <w:rPr>
          <w:rFonts w:ascii="Century" w:hAnsi="Century"/>
          <w:noProof/>
        </w:rPr>
      </w:pPr>
      <w:bookmarkStart w:id="5" w:name="_BA95XTOA95OtherAuthorities"/>
      <w:bookmarkEnd w:id="4"/>
      <w:r w:rsidRPr="00E52611">
        <w:rPr>
          <w:rFonts w:ascii="Century" w:hAnsi="Century"/>
          <w:noProof/>
        </w:rPr>
        <w:t>Other Authorities</w:t>
      </w:r>
    </w:p>
    <w:p w:rsidR="00E52611" w:rsidRPr="00E52611" w:rsidRDefault="00734C27" w:rsidP="00E52611">
      <w:pPr>
        <w:pStyle w:val="BATOAEntry"/>
        <w:rPr>
          <w:rFonts w:ascii="Century" w:hAnsi="Century"/>
          <w:noProof/>
        </w:rPr>
      </w:pPr>
      <w:r>
        <w:rPr>
          <w:rFonts w:ascii="Century" w:hAnsi="Century"/>
          <w:noProof/>
        </w:rPr>
        <w:t>154th Congressional Record</w:t>
      </w:r>
      <w:r w:rsidR="00E52611" w:rsidRPr="00E52611">
        <w:rPr>
          <w:rFonts w:ascii="Century" w:hAnsi="Century"/>
          <w:noProof/>
        </w:rPr>
        <w:tab/>
      </w:r>
      <w:hyperlink w:anchor="_BA_Cite_145" w:tooltip="Long: 154 Cong. Rec. H10281 (daily ed. Sept. 27, 2008)" w:history="1">
        <w:r w:rsidR="00E52611" w:rsidRPr="00E52611">
          <w:rPr>
            <w:rFonts w:ascii="Century" w:hAnsi="Century"/>
            <w:noProof/>
          </w:rPr>
          <w:t>5</w:t>
        </w:r>
      </w:hyperlink>
    </w:p>
    <w:p w:rsidR="00CA45CA" w:rsidRPr="00C635CC" w:rsidRDefault="00E52611" w:rsidP="00C635CC">
      <w:pPr>
        <w:pStyle w:val="BATOAEntry"/>
        <w:rPr>
          <w:rFonts w:ascii="Century" w:hAnsi="Century"/>
          <w:noProof/>
        </w:rPr>
      </w:pPr>
      <w:r w:rsidRPr="00E52611">
        <w:rPr>
          <w:rFonts w:ascii="Century" w:hAnsi="Century"/>
          <w:noProof/>
        </w:rPr>
        <w:t>155</w:t>
      </w:r>
      <w:r w:rsidR="00734C27">
        <w:rPr>
          <w:rFonts w:ascii="Century" w:hAnsi="Century"/>
          <w:noProof/>
        </w:rPr>
        <w:t>th Congressional Record</w:t>
      </w:r>
      <w:r w:rsidRPr="00E52611">
        <w:rPr>
          <w:rFonts w:ascii="Century" w:hAnsi="Century"/>
          <w:noProof/>
        </w:rPr>
        <w:tab/>
      </w:r>
      <w:r w:rsidR="00734C27">
        <w:rPr>
          <w:rFonts w:ascii="Century" w:hAnsi="Century"/>
          <w:noProof/>
        </w:rPr>
        <w:t>passim</w:t>
      </w:r>
    </w:p>
    <w:p w:rsidR="00242993" w:rsidRDefault="00242993" w:rsidP="00242993">
      <w:pPr>
        <w:pStyle w:val="BATOAEntry"/>
        <w:spacing w:after="0"/>
        <w:ind w:left="0" w:firstLine="0"/>
        <w:rPr>
          <w:rFonts w:ascii="Century" w:hAnsi="Century" w:cs="Times"/>
          <w:noProof/>
        </w:rPr>
      </w:pPr>
      <w:r>
        <w:rPr>
          <w:rFonts w:ascii="Century" w:hAnsi="Century" w:cs="Times"/>
          <w:noProof/>
        </w:rPr>
        <w:t xml:space="preserve">CONG. RESEARCH SERVICE </w:t>
      </w:r>
      <w:r w:rsidR="00E52611" w:rsidRPr="00E52611">
        <w:rPr>
          <w:rFonts w:ascii="Century" w:hAnsi="Century" w:cs="Times"/>
          <w:noProof/>
        </w:rPr>
        <w:t>MEMORANDUM</w:t>
      </w:r>
      <w:r w:rsidR="006A33B9">
        <w:rPr>
          <w:rFonts w:ascii="Century" w:hAnsi="Century" w:cs="Times"/>
          <w:noProof/>
        </w:rPr>
        <w:t xml:space="preserve"> TO HOUSE JUD. COMM. RE ACORN </w:t>
      </w:r>
    </w:p>
    <w:p w:rsidR="007D74A5" w:rsidRDefault="0019536A" w:rsidP="0019536A">
      <w:pPr>
        <w:pStyle w:val="BATOAEntry"/>
        <w:tabs>
          <w:tab w:val="right" w:pos="270"/>
        </w:tabs>
        <w:spacing w:after="0"/>
        <w:rPr>
          <w:rFonts w:ascii="Century" w:hAnsi="Century"/>
          <w:noProof/>
        </w:rPr>
      </w:pPr>
      <w:r>
        <w:rPr>
          <w:rFonts w:ascii="Century" w:hAnsi="Century" w:cs="Times"/>
          <w:noProof/>
        </w:rPr>
        <w:tab/>
      </w:r>
      <w:r>
        <w:rPr>
          <w:rFonts w:ascii="Century" w:hAnsi="Century" w:cs="Times"/>
          <w:noProof/>
        </w:rPr>
        <w:tab/>
      </w:r>
      <w:r w:rsidR="00E52611" w:rsidRPr="00E52611">
        <w:rPr>
          <w:rFonts w:ascii="Century" w:hAnsi="Century" w:cs="Times"/>
          <w:noProof/>
        </w:rPr>
        <w:t>(</w:t>
      </w:r>
      <w:r w:rsidR="00E40C44">
        <w:rPr>
          <w:rFonts w:ascii="Century" w:hAnsi="Century" w:cs="Times"/>
          <w:noProof/>
        </w:rPr>
        <w:t xml:space="preserve">111th Cong., </w:t>
      </w:r>
      <w:r w:rsidR="00E52611" w:rsidRPr="00E52611">
        <w:rPr>
          <w:rFonts w:ascii="Century" w:hAnsi="Century" w:cs="Times"/>
          <w:noProof/>
        </w:rPr>
        <w:t>Mar. 15, 2010)</w:t>
      </w:r>
      <w:r w:rsidR="00E52611" w:rsidRPr="00E52611">
        <w:rPr>
          <w:rFonts w:ascii="Century" w:hAnsi="Century"/>
          <w:noProof/>
        </w:rPr>
        <w:tab/>
      </w:r>
      <w:hyperlink w:anchor="_BA_Cite_157" w:tooltip="Long: MEMORANDUM TO HOUSE JUD. COMM. RE ACORN 1 (Mar. 15, 2010) (hereafter &quot;CRS ACORN Memo&quot;)" w:history="1">
        <w:r w:rsidR="00E52611" w:rsidRPr="00E52611">
          <w:rPr>
            <w:rFonts w:ascii="Century" w:hAnsi="Century"/>
            <w:noProof/>
          </w:rPr>
          <w:t>8</w:t>
        </w:r>
      </w:hyperlink>
      <w:r w:rsidR="00E52611" w:rsidRPr="00E52611">
        <w:rPr>
          <w:rFonts w:ascii="Century" w:hAnsi="Century"/>
          <w:noProof/>
        </w:rPr>
        <w:t>,</w:t>
      </w:r>
      <w:hyperlink w:anchor="_BA_Cite_232" w:tooltip="Short: CRS ACORN Memo at 1" w:history="1">
        <w:r w:rsidR="00E52611" w:rsidRPr="00E52611">
          <w:rPr>
            <w:rFonts w:ascii="Century" w:hAnsi="Century"/>
            <w:noProof/>
          </w:rPr>
          <w:t xml:space="preserve"> 30</w:t>
        </w:r>
      </w:hyperlink>
      <w:r w:rsidR="00E52611" w:rsidRPr="00E52611">
        <w:rPr>
          <w:rFonts w:ascii="Century" w:hAnsi="Century"/>
          <w:noProof/>
        </w:rPr>
        <w:t xml:space="preserve">, </w:t>
      </w:r>
      <w:hyperlink w:anchor="_BA_Cite_256" w:tooltip="Short: CRS ACORN Memo at 1" w:history="1">
        <w:r w:rsidR="00E52611" w:rsidRPr="00E52611">
          <w:rPr>
            <w:rFonts w:ascii="Century" w:hAnsi="Century"/>
            <w:noProof/>
          </w:rPr>
          <w:t>40</w:t>
        </w:r>
      </w:hyperlink>
    </w:p>
    <w:p w:rsidR="0019536A" w:rsidRDefault="0019536A" w:rsidP="0019536A">
      <w:pPr>
        <w:pStyle w:val="BATOAEntry"/>
        <w:tabs>
          <w:tab w:val="right" w:pos="270"/>
        </w:tabs>
        <w:spacing w:after="0"/>
        <w:rPr>
          <w:rFonts w:ascii="Century" w:hAnsi="Century"/>
          <w:noProof/>
        </w:rPr>
      </w:pPr>
    </w:p>
    <w:p w:rsidR="0019536A" w:rsidRDefault="00242993" w:rsidP="00242993">
      <w:pPr>
        <w:pStyle w:val="BATOAEntry"/>
        <w:spacing w:after="0"/>
        <w:ind w:left="0" w:firstLine="0"/>
        <w:rPr>
          <w:rFonts w:ascii="Century" w:hAnsi="Century" w:cs="Times"/>
          <w:noProof/>
        </w:rPr>
      </w:pPr>
      <w:r>
        <w:rPr>
          <w:rFonts w:ascii="Century" w:hAnsi="Century" w:cs="Times"/>
          <w:noProof/>
        </w:rPr>
        <w:t xml:space="preserve">CONG. RESEARCH SERVICE </w:t>
      </w:r>
      <w:r w:rsidR="00E52611" w:rsidRPr="00E52611">
        <w:rPr>
          <w:rFonts w:ascii="Century" w:hAnsi="Century" w:cs="Times"/>
          <w:noProof/>
        </w:rPr>
        <w:t xml:space="preserve">REPORT ON ACORN </w:t>
      </w:r>
      <w:r w:rsidR="006A33B9">
        <w:rPr>
          <w:rFonts w:ascii="Century" w:hAnsi="Century" w:cs="Times"/>
          <w:noProof/>
        </w:rPr>
        <w:t>ACTIVITIES CONCERNING HOUSING</w:t>
      </w:r>
    </w:p>
    <w:p w:rsidR="00E52611" w:rsidRDefault="0019536A" w:rsidP="0019536A">
      <w:pPr>
        <w:pStyle w:val="BATOAEntry"/>
        <w:spacing w:after="0"/>
        <w:rPr>
          <w:rFonts w:ascii="Century" w:hAnsi="Century"/>
          <w:noProof/>
        </w:rPr>
      </w:pPr>
      <w:r>
        <w:rPr>
          <w:rFonts w:ascii="Century" w:hAnsi="Century" w:cs="Times"/>
          <w:noProof/>
        </w:rPr>
        <w:tab/>
      </w:r>
      <w:r w:rsidR="000F4EBC">
        <w:rPr>
          <w:rFonts w:ascii="Century" w:hAnsi="Century" w:cs="Times"/>
          <w:noProof/>
        </w:rPr>
        <w:t>(</w:t>
      </w:r>
      <w:r w:rsidR="00F30296">
        <w:rPr>
          <w:rFonts w:ascii="Century" w:hAnsi="Century" w:cs="Times"/>
          <w:noProof/>
        </w:rPr>
        <w:t>111th Cong.,</w:t>
      </w:r>
      <w:r w:rsidR="000F4EBC">
        <w:rPr>
          <w:rFonts w:ascii="Century" w:hAnsi="Century" w:cs="Times"/>
          <w:noProof/>
        </w:rPr>
        <w:t>Oct. 30, 2009)</w:t>
      </w:r>
      <w:r w:rsidR="00E52611" w:rsidRPr="00E52611">
        <w:rPr>
          <w:rFonts w:ascii="Century" w:hAnsi="Century"/>
          <w:noProof/>
        </w:rPr>
        <w:tab/>
      </w:r>
      <w:hyperlink w:anchor="_BA_Cite_132" w:tooltip="Long: REPORT ON ACORN ACTIVITIES CONCERNING HOUSING 1 (Oct. 30, 2009) (hereafter &quot;CRS Housing Report&quot;)" w:history="1">
        <w:r w:rsidR="00E52611" w:rsidRPr="00E52611">
          <w:rPr>
            <w:rFonts w:ascii="Century" w:hAnsi="Century"/>
            <w:noProof/>
          </w:rPr>
          <w:t>1</w:t>
        </w:r>
      </w:hyperlink>
      <w:r w:rsidR="00E52611" w:rsidRPr="00E52611">
        <w:rPr>
          <w:rFonts w:ascii="Century" w:hAnsi="Century"/>
          <w:noProof/>
        </w:rPr>
        <w:t>,</w:t>
      </w:r>
      <w:hyperlink w:anchor="_BA_Cite_218" w:tooltip="Short: CRS Housing Report at 1-2" w:history="1">
        <w:r w:rsidR="00E52611" w:rsidRPr="00E52611">
          <w:rPr>
            <w:rFonts w:ascii="Century" w:hAnsi="Century"/>
            <w:noProof/>
          </w:rPr>
          <w:t xml:space="preserve"> 25</w:t>
        </w:r>
      </w:hyperlink>
      <w:r w:rsidR="00E52611" w:rsidRPr="00E52611">
        <w:rPr>
          <w:rFonts w:ascii="Century" w:hAnsi="Century"/>
          <w:noProof/>
        </w:rPr>
        <w:t xml:space="preserve">, </w:t>
      </w:r>
      <w:hyperlink w:anchor="_BA_Cite_219" w:tooltip="Id" w:history="1">
        <w:r w:rsidR="00E52611" w:rsidRPr="00E52611">
          <w:rPr>
            <w:rFonts w:ascii="Century" w:hAnsi="Century"/>
            <w:noProof/>
          </w:rPr>
          <w:t>26</w:t>
        </w:r>
      </w:hyperlink>
    </w:p>
    <w:p w:rsidR="0019536A" w:rsidRPr="00E52611" w:rsidRDefault="0019536A" w:rsidP="0019536A">
      <w:pPr>
        <w:pStyle w:val="BATOAEntry"/>
        <w:spacing w:after="0"/>
        <w:rPr>
          <w:rFonts w:ascii="Century" w:hAnsi="Century"/>
          <w:noProof/>
        </w:rPr>
      </w:pPr>
    </w:p>
    <w:p w:rsidR="00C635CC" w:rsidRDefault="00C635CC" w:rsidP="00C635CC">
      <w:pPr>
        <w:pStyle w:val="BATOAEntry"/>
        <w:spacing w:after="0"/>
        <w:ind w:left="0" w:firstLine="0"/>
        <w:rPr>
          <w:rFonts w:ascii="Century" w:hAnsi="Century" w:cs="Times"/>
          <w:noProof/>
        </w:rPr>
      </w:pPr>
      <w:r w:rsidRPr="007D74A5">
        <w:rPr>
          <w:rFonts w:ascii="Century" w:hAnsi="Century" w:cs="Times"/>
          <w:noProof/>
        </w:rPr>
        <w:t>John Atlas, Seeds of Change: The Story of ACORN, America’s Most Controversial Antipoverty Community Organizing Group</w:t>
      </w:r>
      <w:r>
        <w:rPr>
          <w:rFonts w:ascii="Century" w:hAnsi="Century" w:cs="Times"/>
          <w:noProof/>
        </w:rPr>
        <w:t xml:space="preserve"> </w:t>
      </w:r>
    </w:p>
    <w:p w:rsidR="00C635CC" w:rsidRDefault="00C635CC" w:rsidP="00C635CC">
      <w:pPr>
        <w:pStyle w:val="BATOAEntry"/>
        <w:spacing w:after="0"/>
        <w:ind w:firstLine="0"/>
        <w:rPr>
          <w:rFonts w:ascii="Century" w:hAnsi="Century" w:cs="Times"/>
          <w:noProof/>
        </w:rPr>
      </w:pPr>
      <w:r w:rsidRPr="007D74A5">
        <w:rPr>
          <w:rFonts w:ascii="Century" w:hAnsi="Century" w:cs="Times"/>
          <w:noProof/>
        </w:rPr>
        <w:t>(Jun. 28, 2010).</w:t>
      </w:r>
      <w:r>
        <w:rPr>
          <w:rFonts w:ascii="Century" w:hAnsi="Century" w:cs="Times"/>
          <w:noProof/>
        </w:rPr>
        <w:tab/>
        <w:t>22, 26</w:t>
      </w:r>
    </w:p>
    <w:p w:rsidR="00C635CC" w:rsidRDefault="00C635CC" w:rsidP="0019536A">
      <w:pPr>
        <w:pStyle w:val="BATOAEntry"/>
        <w:tabs>
          <w:tab w:val="right" w:pos="540"/>
        </w:tabs>
        <w:spacing w:after="0"/>
        <w:ind w:left="0" w:firstLine="0"/>
        <w:rPr>
          <w:rFonts w:ascii="Century" w:hAnsi="Century"/>
          <w:noProof/>
        </w:rPr>
      </w:pPr>
    </w:p>
    <w:p w:rsidR="0019536A" w:rsidRDefault="00DF0559" w:rsidP="0019536A">
      <w:pPr>
        <w:pStyle w:val="BATOAEntry"/>
        <w:tabs>
          <w:tab w:val="right" w:pos="540"/>
        </w:tabs>
        <w:spacing w:after="0"/>
        <w:ind w:left="0" w:firstLine="0"/>
        <w:rPr>
          <w:rFonts w:ascii="Century" w:hAnsi="Century"/>
          <w:noProof/>
        </w:rPr>
      </w:pPr>
      <w:r w:rsidRPr="00777C43">
        <w:rPr>
          <w:rFonts w:ascii="Century" w:hAnsi="Century"/>
          <w:noProof/>
        </w:rPr>
        <w:lastRenderedPageBreak/>
        <w:fldChar w:fldCharType="begin"/>
      </w:r>
      <w:r w:rsidR="00777C43" w:rsidRPr="00777C43">
        <w:rPr>
          <w:rFonts w:ascii="Century" w:hAnsi="Century"/>
          <w:noProof/>
        </w:rPr>
        <w:instrText xml:space="preserve"> ADDIN BA \xc &lt;@reg&gt; \xl 37 \s QOQUYW000053 \l "REPORT ON THE PROPOSED “DEFUND ACORN”" </w:instrText>
      </w:r>
      <w:r w:rsidRPr="00777C43">
        <w:rPr>
          <w:rFonts w:ascii="Century" w:hAnsi="Century"/>
          <w:noProof/>
        </w:rPr>
        <w:fldChar w:fldCharType="end"/>
      </w:r>
      <w:r w:rsidR="00777C43" w:rsidRPr="00777C43">
        <w:rPr>
          <w:rFonts w:ascii="Century" w:hAnsi="Century"/>
          <w:noProof/>
        </w:rPr>
        <w:t xml:space="preserve">REPORT ON THE </w:t>
      </w:r>
      <w:r w:rsidR="0019536A">
        <w:rPr>
          <w:rFonts w:ascii="Century" w:hAnsi="Century"/>
          <w:noProof/>
        </w:rPr>
        <w:t xml:space="preserve">PROPOSED “DEFUND ACORN” ACT AND </w:t>
      </w:r>
      <w:r w:rsidR="00777C43" w:rsidRPr="00777C43">
        <w:rPr>
          <w:rFonts w:ascii="Century" w:hAnsi="Century"/>
          <w:noProof/>
        </w:rPr>
        <w:t xml:space="preserve">RELATED LEGISLATION: ARE THEY BILLS OF ATTAINDER? </w:t>
      </w:r>
      <w:r w:rsidR="0019536A">
        <w:rPr>
          <w:rFonts w:ascii="Century" w:hAnsi="Century"/>
          <w:noProof/>
        </w:rPr>
        <w:t xml:space="preserve"> </w:t>
      </w:r>
    </w:p>
    <w:p w:rsidR="00777C43" w:rsidRPr="00E52611" w:rsidRDefault="00777C43" w:rsidP="0019536A">
      <w:pPr>
        <w:pStyle w:val="BATOAEntry"/>
        <w:tabs>
          <w:tab w:val="right" w:pos="540"/>
        </w:tabs>
        <w:spacing w:after="0"/>
        <w:ind w:left="450" w:hanging="90"/>
        <w:rPr>
          <w:rFonts w:ascii="Century" w:hAnsi="Century"/>
          <w:noProof/>
        </w:rPr>
      </w:pPr>
      <w:r w:rsidRPr="00777C43">
        <w:rPr>
          <w:rFonts w:ascii="Century" w:hAnsi="Century"/>
          <w:noProof/>
        </w:rPr>
        <w:t>(</w:t>
      </w:r>
      <w:r w:rsidR="00F30296">
        <w:rPr>
          <w:rFonts w:ascii="Century" w:hAnsi="Century"/>
          <w:noProof/>
        </w:rPr>
        <w:t xml:space="preserve">111th Cong., </w:t>
      </w:r>
      <w:r w:rsidRPr="00777C43">
        <w:rPr>
          <w:rFonts w:ascii="Century" w:hAnsi="Century"/>
          <w:noProof/>
        </w:rPr>
        <w:t>Nov. 30, 2009).</w:t>
      </w:r>
      <w:r>
        <w:rPr>
          <w:rFonts w:ascii="Century" w:hAnsi="Century"/>
          <w:noProof/>
        </w:rPr>
        <w:tab/>
        <w:t>33</w:t>
      </w:r>
    </w:p>
    <w:p w:rsidR="00777C43" w:rsidRDefault="00777C43" w:rsidP="00E52611">
      <w:pPr>
        <w:pStyle w:val="BATOAEntry"/>
        <w:rPr>
          <w:rFonts w:ascii="Century" w:hAnsi="Century"/>
          <w:noProof/>
        </w:rPr>
      </w:pPr>
    </w:p>
    <w:p w:rsidR="00577FAC" w:rsidRDefault="00E52611" w:rsidP="00577FAC">
      <w:pPr>
        <w:pStyle w:val="BATOAEntry"/>
        <w:spacing w:after="0"/>
        <w:ind w:left="0" w:firstLine="0"/>
        <w:rPr>
          <w:rFonts w:ascii="Century" w:hAnsi="Century"/>
          <w:noProof/>
        </w:rPr>
      </w:pPr>
      <w:r w:rsidRPr="00E52611">
        <w:rPr>
          <w:rFonts w:ascii="Century" w:hAnsi="Century"/>
          <w:noProof/>
        </w:rPr>
        <w:t xml:space="preserve">Scott Harshbarger and Amy Crafts, </w:t>
      </w:r>
      <w:r w:rsidR="00577FAC">
        <w:rPr>
          <w:rFonts w:ascii="Century" w:hAnsi="Century"/>
          <w:i/>
          <w:noProof/>
        </w:rPr>
        <w:t xml:space="preserve">An Independent Governance </w:t>
      </w:r>
      <w:r w:rsidRPr="00E52611">
        <w:rPr>
          <w:rFonts w:ascii="Century" w:hAnsi="Century"/>
          <w:i/>
          <w:noProof/>
        </w:rPr>
        <w:t>Assessment of ACORN: the Path to Meaningful Reform</w:t>
      </w:r>
      <w:r w:rsidRPr="00E52611">
        <w:rPr>
          <w:rFonts w:ascii="Century" w:hAnsi="Century"/>
          <w:noProof/>
        </w:rPr>
        <w:t xml:space="preserve"> </w:t>
      </w:r>
    </w:p>
    <w:p w:rsidR="00E52611" w:rsidRDefault="00E52611" w:rsidP="00577FAC">
      <w:pPr>
        <w:pStyle w:val="BATOAEntry"/>
        <w:spacing w:after="0"/>
        <w:ind w:firstLine="0"/>
        <w:rPr>
          <w:rFonts w:ascii="Century" w:hAnsi="Century"/>
          <w:noProof/>
        </w:rPr>
      </w:pPr>
      <w:r w:rsidRPr="00E52611">
        <w:rPr>
          <w:rFonts w:ascii="Century" w:hAnsi="Century"/>
          <w:noProof/>
        </w:rPr>
        <w:t>(Dec. 7, 2009)</w:t>
      </w:r>
      <w:r w:rsidRPr="00E52611">
        <w:rPr>
          <w:rFonts w:ascii="Century" w:hAnsi="Century"/>
          <w:noProof/>
        </w:rPr>
        <w:tab/>
      </w:r>
      <w:r w:rsidR="006A33B9">
        <w:rPr>
          <w:rFonts w:ascii="Century" w:hAnsi="Century"/>
          <w:noProof/>
        </w:rPr>
        <w:t>passim</w:t>
      </w:r>
    </w:p>
    <w:p w:rsidR="00577FAC" w:rsidRPr="00E52611" w:rsidRDefault="00577FAC" w:rsidP="00577FAC">
      <w:pPr>
        <w:pStyle w:val="BATOAEntry"/>
        <w:spacing w:after="0"/>
        <w:ind w:firstLine="0"/>
        <w:rPr>
          <w:rFonts w:ascii="Century" w:hAnsi="Century"/>
          <w:noProof/>
        </w:rPr>
      </w:pPr>
    </w:p>
    <w:p w:rsidR="006A00FD" w:rsidRDefault="006A00FD" w:rsidP="006A00FD">
      <w:pPr>
        <w:pStyle w:val="BATOAEntry"/>
        <w:spacing w:after="0"/>
        <w:ind w:left="0" w:firstLine="0"/>
        <w:rPr>
          <w:rFonts w:ascii="Century" w:hAnsi="Century"/>
          <w:noProof/>
        </w:rPr>
      </w:pPr>
      <w:r>
        <w:rPr>
          <w:rFonts w:ascii="Century" w:hAnsi="Century"/>
          <w:noProof/>
        </w:rPr>
        <w:t>STAFF HOUSE COMMITTEE ON GOVERNMENT</w:t>
      </w:r>
      <w:r w:rsidRPr="006A33B9">
        <w:rPr>
          <w:rFonts w:ascii="Century" w:hAnsi="Century"/>
          <w:noProof/>
        </w:rPr>
        <w:t xml:space="preserve"> REFORM</w:t>
      </w:r>
      <w:r w:rsidRPr="006A00FD">
        <w:rPr>
          <w:rFonts w:ascii="Century" w:hAnsi="Century"/>
          <w:noProof/>
        </w:rPr>
        <w:t>, ACORN POLITICAL MAC</w:t>
      </w:r>
      <w:r>
        <w:rPr>
          <w:rFonts w:ascii="Century" w:hAnsi="Century"/>
          <w:noProof/>
        </w:rPr>
        <w:t xml:space="preserve">HINE TRIES TO REINVENT ITSELF </w:t>
      </w:r>
    </w:p>
    <w:p w:rsidR="006A00FD" w:rsidRDefault="006A00FD" w:rsidP="006A00FD">
      <w:pPr>
        <w:pStyle w:val="BATOAEntry"/>
        <w:spacing w:after="0"/>
        <w:ind w:firstLine="0"/>
        <w:rPr>
          <w:rFonts w:ascii="Century" w:hAnsi="Century"/>
          <w:noProof/>
        </w:rPr>
      </w:pPr>
      <w:r w:rsidRPr="006A00FD">
        <w:rPr>
          <w:rFonts w:ascii="Century" w:hAnsi="Century"/>
          <w:noProof/>
        </w:rPr>
        <w:t>(</w:t>
      </w:r>
      <w:r>
        <w:rPr>
          <w:rFonts w:ascii="Century" w:hAnsi="Century"/>
          <w:noProof/>
        </w:rPr>
        <w:t xml:space="preserve">112th Cong., </w:t>
      </w:r>
      <w:r w:rsidR="0084648F">
        <w:rPr>
          <w:rFonts w:ascii="Century" w:hAnsi="Century"/>
          <w:noProof/>
        </w:rPr>
        <w:t>Apr. 1, 2010)</w:t>
      </w:r>
      <w:r w:rsidR="0084648F">
        <w:rPr>
          <w:rFonts w:ascii="Century" w:hAnsi="Century"/>
          <w:noProof/>
        </w:rPr>
        <w:tab/>
      </w:r>
      <w:r w:rsidR="00713BC4">
        <w:rPr>
          <w:rFonts w:ascii="Century" w:hAnsi="Century"/>
          <w:noProof/>
        </w:rPr>
        <w:t>7</w:t>
      </w:r>
    </w:p>
    <w:p w:rsidR="00242993" w:rsidRPr="00E52611" w:rsidRDefault="00242993" w:rsidP="006A00FD">
      <w:pPr>
        <w:pStyle w:val="BATOAEntry"/>
        <w:spacing w:after="0"/>
        <w:ind w:firstLine="0"/>
        <w:rPr>
          <w:rFonts w:ascii="Century" w:hAnsi="Century"/>
          <w:noProof/>
        </w:rPr>
      </w:pPr>
    </w:p>
    <w:p w:rsidR="00AF21A9" w:rsidRDefault="00AF21A9" w:rsidP="00AF21A9">
      <w:pPr>
        <w:pStyle w:val="BATOAEntry"/>
        <w:spacing w:after="0"/>
        <w:ind w:left="0" w:firstLine="0"/>
        <w:rPr>
          <w:rFonts w:ascii="Century" w:hAnsi="Century"/>
          <w:noProof/>
        </w:rPr>
      </w:pPr>
      <w:r>
        <w:rPr>
          <w:rFonts w:ascii="Century" w:hAnsi="Century"/>
          <w:noProof/>
        </w:rPr>
        <w:t>STAFF HOUSE COMMITTEE ON GOVERNMENT</w:t>
      </w:r>
      <w:r w:rsidRPr="006A33B9">
        <w:rPr>
          <w:rFonts w:ascii="Century" w:hAnsi="Century"/>
          <w:noProof/>
        </w:rPr>
        <w:t xml:space="preserve"> REFORM, IS ACORN INTENTIONALLY STUCTURE</w:t>
      </w:r>
      <w:r>
        <w:rPr>
          <w:rFonts w:ascii="Century" w:hAnsi="Century"/>
          <w:noProof/>
        </w:rPr>
        <w:t>D AS A CRIMINAL ENTERPRISE?</w:t>
      </w:r>
    </w:p>
    <w:p w:rsidR="00AF21A9" w:rsidRDefault="00AF21A9" w:rsidP="00AF21A9">
      <w:pPr>
        <w:pStyle w:val="BATOAEntry"/>
        <w:ind w:firstLine="0"/>
        <w:rPr>
          <w:rFonts w:ascii="Century" w:hAnsi="Century"/>
          <w:noProof/>
        </w:rPr>
      </w:pPr>
      <w:r w:rsidRPr="006A33B9">
        <w:rPr>
          <w:rFonts w:ascii="Century" w:hAnsi="Century"/>
          <w:noProof/>
        </w:rPr>
        <w:t>(</w:t>
      </w:r>
      <w:r>
        <w:rPr>
          <w:rFonts w:ascii="Century" w:hAnsi="Century"/>
          <w:noProof/>
        </w:rPr>
        <w:t xml:space="preserve">111th Cong., </w:t>
      </w:r>
      <w:r w:rsidRPr="006A33B9">
        <w:rPr>
          <w:rFonts w:ascii="Century" w:hAnsi="Century"/>
          <w:noProof/>
        </w:rPr>
        <w:t>July 23, 2009)</w:t>
      </w:r>
      <w:r w:rsidRPr="00E52611">
        <w:rPr>
          <w:rFonts w:ascii="Century" w:hAnsi="Century"/>
          <w:noProof/>
        </w:rPr>
        <w:tab/>
      </w:r>
      <w:hyperlink w:anchor="_BA_Cite_133" w:tooltip="Long: Oversight Comm. Report I" w:history="1">
        <w:r w:rsidRPr="00E52611">
          <w:rPr>
            <w:rFonts w:ascii="Century" w:hAnsi="Century"/>
            <w:noProof/>
          </w:rPr>
          <w:t>2</w:t>
        </w:r>
      </w:hyperlink>
      <w:r w:rsidRPr="00E52611">
        <w:rPr>
          <w:rFonts w:ascii="Century" w:hAnsi="Century"/>
          <w:noProof/>
        </w:rPr>
        <w:t xml:space="preserve">, </w:t>
      </w:r>
      <w:hyperlink w:anchor="_BA_Cite_141" w:tooltip="Short: Oversight Comm. Report I" w:history="1">
        <w:r w:rsidRPr="00E52611">
          <w:rPr>
            <w:rFonts w:ascii="Century" w:hAnsi="Century"/>
            <w:noProof/>
          </w:rPr>
          <w:t>4</w:t>
        </w:r>
      </w:hyperlink>
      <w:r>
        <w:rPr>
          <w:rFonts w:ascii="Century" w:hAnsi="Century"/>
          <w:noProof/>
        </w:rPr>
        <w:t>, 39</w:t>
      </w:r>
    </w:p>
    <w:p w:rsidR="001D2C0F" w:rsidRDefault="001D2C0F" w:rsidP="002D7A50">
      <w:pPr>
        <w:pStyle w:val="BATOAEntry"/>
        <w:spacing w:after="0"/>
        <w:ind w:left="0" w:firstLine="0"/>
        <w:rPr>
          <w:rFonts w:ascii="Century" w:hAnsi="Century"/>
          <w:noProof/>
        </w:rPr>
      </w:pPr>
      <w:r w:rsidRPr="001D2C0F">
        <w:rPr>
          <w:rFonts w:ascii="Century" w:hAnsi="Century"/>
          <w:noProof/>
        </w:rPr>
        <w:t>U.S. GOV’T ACCOUNTABILITY OFFICE, PRELIMINARY OBSERVATIONS ON FUNDING, OVERSIGHT, AND INVESTIGATIONS AND PROSECUTIONS OF ACORN OR POTE</w:t>
      </w:r>
      <w:r>
        <w:rPr>
          <w:rFonts w:ascii="Century" w:hAnsi="Century"/>
          <w:noProof/>
        </w:rPr>
        <w:t xml:space="preserve">NTIALLY RELATED ORGANIZATIONS </w:t>
      </w:r>
    </w:p>
    <w:p w:rsidR="001D2C0F" w:rsidRDefault="001D2C0F" w:rsidP="001D2C0F">
      <w:pPr>
        <w:pStyle w:val="BATOAEntry"/>
        <w:spacing w:after="0"/>
        <w:ind w:firstLine="0"/>
        <w:rPr>
          <w:rFonts w:ascii="Century" w:hAnsi="Century"/>
          <w:noProof/>
        </w:rPr>
      </w:pPr>
      <w:r w:rsidRPr="001D2C0F">
        <w:rPr>
          <w:rFonts w:ascii="Century" w:hAnsi="Century"/>
          <w:noProof/>
        </w:rPr>
        <w:t>(June 14, 2010)</w:t>
      </w:r>
      <w:r>
        <w:rPr>
          <w:rFonts w:ascii="Century" w:hAnsi="Century"/>
          <w:noProof/>
        </w:rPr>
        <w:tab/>
        <w:t>passim</w:t>
      </w:r>
    </w:p>
    <w:p w:rsidR="001D2C0F" w:rsidRDefault="001D2C0F" w:rsidP="002D7A50">
      <w:pPr>
        <w:pStyle w:val="BATOAEntry"/>
        <w:spacing w:after="0"/>
        <w:ind w:left="0" w:firstLine="0"/>
        <w:rPr>
          <w:rFonts w:ascii="Century" w:hAnsi="Century"/>
          <w:noProof/>
        </w:rPr>
      </w:pPr>
    </w:p>
    <w:p w:rsidR="002D7A50" w:rsidRDefault="00E52611" w:rsidP="002D7A50">
      <w:pPr>
        <w:pStyle w:val="BATOAEntry"/>
        <w:spacing w:after="0"/>
        <w:ind w:left="0" w:firstLine="0"/>
        <w:rPr>
          <w:rFonts w:ascii="Century" w:hAnsi="Century"/>
          <w:noProof/>
        </w:rPr>
      </w:pPr>
      <w:r w:rsidRPr="00E52611">
        <w:rPr>
          <w:rFonts w:ascii="Century" w:hAnsi="Century"/>
          <w:noProof/>
        </w:rPr>
        <w:t xml:space="preserve">William A. Fletcher, </w:t>
      </w:r>
      <w:r w:rsidRPr="00E52611">
        <w:rPr>
          <w:rFonts w:ascii="Century" w:hAnsi="Century"/>
          <w:i/>
          <w:noProof/>
        </w:rPr>
        <w:t>A Historical Interpretation of the Eleventh Amendment: A Narrow Construction of an Affirmative Grant of Jurisdiction Rather Than A Prohibition Against Jurisdiction</w:t>
      </w:r>
      <w:r w:rsidRPr="00E52611">
        <w:rPr>
          <w:rFonts w:ascii="Century" w:hAnsi="Century"/>
          <w:noProof/>
        </w:rPr>
        <w:t xml:space="preserve">, </w:t>
      </w:r>
    </w:p>
    <w:p w:rsidR="00FE2365" w:rsidRPr="0082761E" w:rsidRDefault="00E52611" w:rsidP="002D7A50">
      <w:pPr>
        <w:pStyle w:val="BATOAEntry"/>
        <w:spacing w:after="0"/>
        <w:ind w:firstLine="0"/>
        <w:rPr>
          <w:rFonts w:ascii="Century" w:hAnsi="Century"/>
          <w:noProof/>
        </w:rPr>
      </w:pPr>
      <w:r w:rsidRPr="00E52611">
        <w:rPr>
          <w:rFonts w:ascii="Century" w:hAnsi="Century"/>
          <w:noProof/>
        </w:rPr>
        <w:t>35 Stan. L. Rev. 1033, 1100 (1983)</w:t>
      </w:r>
      <w:r w:rsidRPr="00E52611">
        <w:rPr>
          <w:rFonts w:ascii="Century" w:hAnsi="Century"/>
          <w:noProof/>
        </w:rPr>
        <w:tab/>
      </w:r>
      <w:hyperlink w:anchor="_BA_Cite_189" w:tooltip="Long: William A. Fletcher, A Historical Interpretation of the Eleventh Amendment: A Narrow Construction of an Affirmative Grant of Jurisdiction Rather Than A Prohibition Against Jurisdiction, 35 Stan. L. Rev. 1033, 1100 (1983) (&quot;For purposes of legal category " w:history="1">
        <w:r w:rsidRPr="00E52611">
          <w:rPr>
            <w:rFonts w:ascii="Century" w:hAnsi="Century"/>
            <w:noProof/>
          </w:rPr>
          <w:t>14</w:t>
        </w:r>
      </w:hyperlink>
      <w:bookmarkEnd w:id="5"/>
      <w:bookmarkEnd w:id="0"/>
      <w:bookmarkEnd w:id="1"/>
      <w:bookmarkEnd w:id="2"/>
    </w:p>
    <w:p w:rsidR="00E248AD" w:rsidRPr="00E52611" w:rsidRDefault="00E248AD" w:rsidP="00735673">
      <w:pPr>
        <w:jc w:val="center"/>
        <w:rPr>
          <w:b/>
        </w:rPr>
      </w:pPr>
    </w:p>
    <w:p w:rsidR="008C2C12" w:rsidRPr="00E52611" w:rsidRDefault="008C2C12">
      <w:pPr>
        <w:rPr>
          <w:rFonts w:eastAsiaTheme="majorEastAsia" w:cstheme="majorBidi"/>
          <w:b/>
          <w:bCs/>
          <w:szCs w:val="28"/>
        </w:rPr>
      </w:pPr>
      <w:r w:rsidRPr="00E52611">
        <w:br w:type="page"/>
      </w:r>
    </w:p>
    <w:p w:rsidR="007C36D7" w:rsidRPr="00E52611" w:rsidRDefault="007C36D7" w:rsidP="000E0232">
      <w:pPr>
        <w:pStyle w:val="Heading1"/>
        <w:sectPr w:rsidR="007C36D7" w:rsidRPr="00E52611" w:rsidSect="00DE66DA">
          <w:footerReference w:type="first" r:id="rId12"/>
          <w:pgSz w:w="12240" w:h="15840"/>
          <w:pgMar w:top="1440" w:right="1800" w:bottom="1440" w:left="1800" w:header="720" w:footer="720" w:gutter="0"/>
          <w:pgNumType w:fmt="lowerRoman" w:start="1"/>
          <w:cols w:space="720"/>
          <w:titlePg/>
          <w:docGrid w:linePitch="360"/>
        </w:sectPr>
      </w:pPr>
    </w:p>
    <w:p w:rsidR="00B6389D" w:rsidRPr="00E52611" w:rsidRDefault="00B6389D" w:rsidP="000E0232">
      <w:pPr>
        <w:pStyle w:val="Heading1"/>
        <w:spacing w:line="480" w:lineRule="auto"/>
        <w:jc w:val="center"/>
      </w:pPr>
      <w:bookmarkStart w:id="6" w:name="_Toc190667440"/>
      <w:r w:rsidRPr="00E52611">
        <w:lastRenderedPageBreak/>
        <w:t>STATEMENT OF FACTS AND PROCEDURE BELOW</w:t>
      </w:r>
      <w:bookmarkEnd w:id="6"/>
    </w:p>
    <w:p w:rsidR="00003F99" w:rsidRPr="00E52611" w:rsidRDefault="00FE5C32" w:rsidP="000529A4">
      <w:pPr>
        <w:autoSpaceDE w:val="0"/>
        <w:autoSpaceDN w:val="0"/>
        <w:adjustRightInd w:val="0"/>
        <w:spacing w:line="480" w:lineRule="auto"/>
      </w:pPr>
      <w:r w:rsidRPr="00E52611">
        <w:rPr>
          <w:b/>
        </w:rPr>
        <w:tab/>
      </w:r>
      <w:bookmarkStart w:id="7" w:name="_BA_ScanRange"/>
      <w:r w:rsidR="00E57973" w:rsidRPr="00E52611">
        <w:t>The Association of Community Organization</w:t>
      </w:r>
      <w:r w:rsidR="000B3258" w:rsidRPr="00E52611">
        <w:t>s</w:t>
      </w:r>
      <w:r w:rsidR="00E57973" w:rsidRPr="00E52611">
        <w:t xml:space="preserve"> for Reform Now (“ACORN”) and its affiliated corporations (collectively “ACORN and its affiliates”</w:t>
      </w:r>
      <w:r w:rsidR="00003F99" w:rsidRPr="00E52611">
        <w:t xml:space="preserve"> or “</w:t>
      </w:r>
      <w:r w:rsidR="005972EC" w:rsidRPr="00E52611">
        <w:t>ACORN”</w:t>
      </w:r>
      <w:r w:rsidR="00E57973" w:rsidRPr="00E52611">
        <w:t>)</w:t>
      </w:r>
      <w:r w:rsidR="00A06A26" w:rsidRPr="00E52611">
        <w:t xml:space="preserve"> are </w:t>
      </w:r>
      <w:r w:rsidR="00B15483" w:rsidRPr="00E52611">
        <w:t xml:space="preserve">progressive non-profit </w:t>
      </w:r>
      <w:r w:rsidR="00E050FE" w:rsidRPr="00E52611">
        <w:t>corporations</w:t>
      </w:r>
      <w:r w:rsidR="008518B6" w:rsidRPr="00E52611">
        <w:t xml:space="preserve"> committed to organizing low-</w:t>
      </w:r>
      <w:r w:rsidR="00B15483" w:rsidRPr="00E52611">
        <w:t>income and minority persons to achieve so</w:t>
      </w:r>
      <w:r w:rsidR="00003F99" w:rsidRPr="00E52611">
        <w:t xml:space="preserve">cial justice. </w:t>
      </w:r>
      <w:r w:rsidR="00DF0559" w:rsidRPr="00E52611">
        <w:fldChar w:fldCharType="begin"/>
      </w:r>
      <w:r w:rsidR="00E52611" w:rsidRPr="00E52611">
        <w:instrText xml:space="preserve"> ADDIN BA \xc &lt;@rec&gt; \xl 13 \s QOQUYW000061 \xpl 1 \l "(Record at 3)" </w:instrText>
      </w:r>
      <w:r w:rsidR="00DF0559" w:rsidRPr="00E52611">
        <w:fldChar w:fldCharType="end"/>
      </w:r>
      <w:bookmarkStart w:id="8" w:name="_BA_Cite_129"/>
      <w:r w:rsidR="00003F99" w:rsidRPr="00E52611">
        <w:t>(Record at 3)</w:t>
      </w:r>
      <w:bookmarkEnd w:id="8"/>
      <w:r w:rsidR="00B15483" w:rsidRPr="00E52611">
        <w:t xml:space="preserve">.  </w:t>
      </w:r>
      <w:r w:rsidR="00F64365" w:rsidRPr="00E52611">
        <w:t xml:space="preserve">Before </w:t>
      </w:r>
      <w:r w:rsidR="00003F99" w:rsidRPr="00E52611">
        <w:t xml:space="preserve">disbanding in </w:t>
      </w:r>
      <w:r w:rsidR="001F786D" w:rsidRPr="00E52611">
        <w:t xml:space="preserve">spring </w:t>
      </w:r>
      <w:r w:rsidR="00F64365" w:rsidRPr="00E52611">
        <w:t xml:space="preserve">2010, ACORN </w:t>
      </w:r>
      <w:r w:rsidR="006F3349" w:rsidRPr="00E52611">
        <w:t>had 500,000 members in 75 cities. (</w:t>
      </w:r>
      <w:r w:rsidR="00DF0559" w:rsidRPr="00E52611">
        <w:fldChar w:fldCharType="begin"/>
      </w:r>
      <w:r w:rsidR="00E52611" w:rsidRPr="00E52611">
        <w:instrText xml:space="preserve"> ADDIN BA \xc &lt;@$id&gt; \xl 3 \s ID \xpl 1 </w:instrText>
      </w:r>
      <w:r w:rsidR="00DF0559" w:rsidRPr="00E52611">
        <w:fldChar w:fldCharType="end"/>
      </w:r>
      <w:r w:rsidR="00857E5D" w:rsidRPr="00E52611">
        <w:rPr>
          <w:i/>
        </w:rPr>
        <w:t>Id.</w:t>
      </w:r>
      <w:r w:rsidR="006F3349" w:rsidRPr="00E52611">
        <w:t xml:space="preserve">). </w:t>
      </w:r>
    </w:p>
    <w:p w:rsidR="00FE5C32" w:rsidRPr="00E52611" w:rsidRDefault="00E13ED5" w:rsidP="000529A4">
      <w:pPr>
        <w:widowControl w:val="0"/>
        <w:autoSpaceDE w:val="0"/>
        <w:autoSpaceDN w:val="0"/>
        <w:adjustRightInd w:val="0"/>
        <w:spacing w:line="480" w:lineRule="auto"/>
        <w:rPr>
          <w:rFonts w:cs="Times"/>
        </w:rPr>
      </w:pPr>
      <w:r w:rsidRPr="00E52611">
        <w:tab/>
      </w:r>
      <w:r w:rsidR="006D66D6" w:rsidRPr="00E52611">
        <w:t xml:space="preserve">Founded in 1970, </w:t>
      </w:r>
      <w:r w:rsidR="00CF0F0D" w:rsidRPr="00E52611">
        <w:t>“</w:t>
      </w:r>
      <w:r w:rsidR="00CF0F0D" w:rsidRPr="00E52611">
        <w:rPr>
          <w:rFonts w:cs="Times"/>
        </w:rPr>
        <w:t>ACORN evolved from a grassroots, community-based organization with a mission of advocacy</w:t>
      </w:r>
      <w:r w:rsidR="00986409" w:rsidRPr="00E52611">
        <w:rPr>
          <w:rFonts w:cs="Times"/>
        </w:rPr>
        <w:t xml:space="preserve"> for the poor and powerless</w:t>
      </w:r>
      <w:r w:rsidR="00D77BB8" w:rsidRPr="00E52611">
        <w:rPr>
          <w:rFonts w:cs="Times"/>
        </w:rPr>
        <w:t>” into “</w:t>
      </w:r>
      <w:r w:rsidR="00CF0F0D" w:rsidRPr="00E52611">
        <w:rPr>
          <w:rFonts w:cs="Times"/>
        </w:rPr>
        <w:t>a major national entity both in scope and ambition.”</w:t>
      </w:r>
      <w:r w:rsidR="00054330" w:rsidRPr="00E52611">
        <w:rPr>
          <w:rStyle w:val="FootnoteReference"/>
          <w:rFonts w:cs="Times"/>
        </w:rPr>
        <w:footnoteReference w:id="1"/>
      </w:r>
      <w:r w:rsidR="00CF0F0D" w:rsidRPr="00E52611">
        <w:rPr>
          <w:rFonts w:cs="Times"/>
        </w:rPr>
        <w:t xml:space="preserve"> </w:t>
      </w:r>
      <w:r w:rsidR="008518B6" w:rsidRPr="00E52611">
        <w:t>ACORN has helped low-</w:t>
      </w:r>
      <w:r w:rsidRPr="00E52611">
        <w:t xml:space="preserve">income Americans with </w:t>
      </w:r>
      <w:r w:rsidR="00CF0F0D" w:rsidRPr="00E52611">
        <w:rPr>
          <w:rFonts w:cs="Times"/>
        </w:rPr>
        <w:t>“citizen engagement</w:t>
      </w:r>
      <w:r w:rsidR="00D436CE" w:rsidRPr="00E52611">
        <w:rPr>
          <w:rFonts w:cs="Times"/>
        </w:rPr>
        <w:t>,”</w:t>
      </w:r>
      <w:r w:rsidR="00CF0F0D" w:rsidRPr="00E52611">
        <w:rPr>
          <w:rFonts w:cs="Times"/>
        </w:rPr>
        <w:t xml:space="preserve"> </w:t>
      </w:r>
      <w:r w:rsidR="00D436CE" w:rsidRPr="00E52611">
        <w:rPr>
          <w:rFonts w:cs="Times"/>
        </w:rPr>
        <w:t>“</w:t>
      </w:r>
      <w:r w:rsidR="00CF0F0D" w:rsidRPr="00E52611">
        <w:rPr>
          <w:rFonts w:cs="Times"/>
        </w:rPr>
        <w:t>political mobili</w:t>
      </w:r>
      <w:r w:rsidR="004E6D20" w:rsidRPr="00E52611">
        <w:rPr>
          <w:rFonts w:cs="Times"/>
        </w:rPr>
        <w:t>zation,</w:t>
      </w:r>
      <w:r w:rsidR="00C72933" w:rsidRPr="00E52611">
        <w:rPr>
          <w:rFonts w:cs="Times"/>
        </w:rPr>
        <w:t>”</w:t>
      </w:r>
      <w:r w:rsidR="004E6D20" w:rsidRPr="00E52611">
        <w:rPr>
          <w:rFonts w:cs="Times"/>
        </w:rPr>
        <w:t xml:space="preserve"> </w:t>
      </w:r>
      <w:r w:rsidR="00C72933" w:rsidRPr="00E52611">
        <w:rPr>
          <w:rFonts w:cs="Times"/>
        </w:rPr>
        <w:t>“</w:t>
      </w:r>
      <w:r w:rsidR="004E6D20" w:rsidRPr="00E52611">
        <w:rPr>
          <w:rFonts w:cs="Times"/>
        </w:rPr>
        <w:t>voter registration,</w:t>
      </w:r>
      <w:r w:rsidR="00C72933" w:rsidRPr="00E52611">
        <w:rPr>
          <w:rFonts w:cs="Times"/>
        </w:rPr>
        <w:t>”</w:t>
      </w:r>
      <w:r w:rsidR="004E6D20" w:rsidRPr="00E52611">
        <w:rPr>
          <w:rFonts w:cs="Times"/>
        </w:rPr>
        <w:t xml:space="preserve"> and</w:t>
      </w:r>
      <w:r w:rsidR="003D27AA" w:rsidRPr="00E52611">
        <w:rPr>
          <w:rFonts w:cs="Times"/>
        </w:rPr>
        <w:t xml:space="preserve"> </w:t>
      </w:r>
      <w:r w:rsidR="006C717E" w:rsidRPr="00E52611">
        <w:rPr>
          <w:rFonts w:cs="Times"/>
        </w:rPr>
        <w:t>“</w:t>
      </w:r>
      <w:r w:rsidR="003D27AA" w:rsidRPr="00E52611">
        <w:rPr>
          <w:rFonts w:cs="Times"/>
        </w:rPr>
        <w:t>foreclosure prevention.</w:t>
      </w:r>
      <w:r w:rsidR="004358AD" w:rsidRPr="00E52611">
        <w:rPr>
          <w:rFonts w:cs="Times"/>
        </w:rPr>
        <w:t xml:space="preserve">” </w:t>
      </w:r>
      <w:r w:rsidR="00CF0F0D" w:rsidRPr="00E52611">
        <w:rPr>
          <w:rFonts w:cs="Times"/>
        </w:rPr>
        <w:t>Harshbarger</w:t>
      </w:r>
      <w:r w:rsidR="00C76635" w:rsidRPr="00E52611">
        <w:rPr>
          <w:rFonts w:cs="Times"/>
        </w:rPr>
        <w:t xml:space="preserve"> at 5-6</w:t>
      </w:r>
      <w:r w:rsidR="00CF0F0D" w:rsidRPr="00E52611">
        <w:rPr>
          <w:rFonts w:cs="Times"/>
        </w:rPr>
        <w:t xml:space="preserve">. </w:t>
      </w:r>
      <w:r w:rsidR="0070095C" w:rsidRPr="00E52611">
        <w:t xml:space="preserve">ACORN and ACORN affiliates </w:t>
      </w:r>
      <w:r w:rsidR="00D50825" w:rsidRPr="00E52611">
        <w:t>a</w:t>
      </w:r>
      <w:r w:rsidR="008B69CB" w:rsidRPr="00E52611">
        <w:t xml:space="preserve">lso provide </w:t>
      </w:r>
      <w:r w:rsidR="008518B6" w:rsidRPr="00E52611">
        <w:t>housing</w:t>
      </w:r>
      <w:r w:rsidR="008B69CB" w:rsidRPr="00E52611">
        <w:t>-related</w:t>
      </w:r>
      <w:r w:rsidR="008518B6" w:rsidRPr="00E52611">
        <w:t xml:space="preserve"> programs for low-income individuals and families. </w:t>
      </w:r>
      <w:r w:rsidR="00FD4A1F" w:rsidRPr="00E52611">
        <w:t xml:space="preserve">For example, </w:t>
      </w:r>
      <w:r w:rsidR="00C537A0" w:rsidRPr="00E52611">
        <w:t>in</w:t>
      </w:r>
      <w:r w:rsidRPr="00E52611">
        <w:rPr>
          <w:rFonts w:cs="Times"/>
        </w:rPr>
        <w:t xml:space="preserve"> 2006, ACORN Housing Corporation (AHC) “secured over $140 million in construction financing to develop 735 new units of affordable housing in Houston, Phoenix, Chicago, and New York.</w:t>
      </w:r>
      <w:r w:rsidR="00CC1566" w:rsidRPr="00E52611">
        <w:rPr>
          <w:rFonts w:cs="Times"/>
        </w:rPr>
        <w:t xml:space="preserve">” </w:t>
      </w:r>
      <w:r w:rsidR="004E662C" w:rsidRPr="00E52611">
        <w:rPr>
          <w:rFonts w:cs="Times"/>
        </w:rPr>
        <w:t xml:space="preserve">CONG. RESEARCH SERV., 111TH  CONG., </w:t>
      </w:r>
      <w:r w:rsidR="00DF0559" w:rsidRPr="00E52611">
        <w:fldChar w:fldCharType="begin"/>
      </w:r>
      <w:r w:rsidR="00E52611" w:rsidRPr="00E52611">
        <w:instrText xml:space="preserve"> ADDIN BA \xc &lt;@reg&gt; \xl 96 \s QOQUYW000001 \l "</w:instrText>
      </w:r>
      <w:r w:rsidR="00E52611" w:rsidRPr="00E52611">
        <w:rPr>
          <w:rFonts w:cs="Times"/>
        </w:rPr>
        <w:instrText>REPORT ON ACORN ACTIVITIES CONCERNING HOUSING 1 (Oct. 30, 2009) (hereafter “CRS Housing Report”)</w:instrText>
      </w:r>
      <w:r w:rsidR="00E52611" w:rsidRPr="00E52611">
        <w:instrText xml:space="preserve">" </w:instrText>
      </w:r>
      <w:r w:rsidR="00DF0559" w:rsidRPr="00E52611">
        <w:fldChar w:fldCharType="end"/>
      </w:r>
      <w:bookmarkStart w:id="11" w:name="_BA_Cite_132"/>
      <w:r w:rsidR="004E662C" w:rsidRPr="00E52611">
        <w:rPr>
          <w:rFonts w:cs="Times"/>
        </w:rPr>
        <w:t xml:space="preserve">REPORT ON ACORN ACTIVITIES CONCERNING HOUSING 1 (Oct. 30, 2009) </w:t>
      </w:r>
      <w:r w:rsidR="008C6E56" w:rsidRPr="00E52611">
        <w:rPr>
          <w:rFonts w:cs="Times"/>
        </w:rPr>
        <w:t>(here</w:t>
      </w:r>
      <w:r w:rsidR="00C537A0" w:rsidRPr="00E52611">
        <w:rPr>
          <w:rFonts w:cs="Times"/>
        </w:rPr>
        <w:t>after “CRS Housing Report”)</w:t>
      </w:r>
      <w:bookmarkEnd w:id="11"/>
      <w:r w:rsidR="00C537A0" w:rsidRPr="00E52611">
        <w:rPr>
          <w:rFonts w:cs="Times"/>
        </w:rPr>
        <w:t xml:space="preserve">. </w:t>
      </w:r>
    </w:p>
    <w:p w:rsidR="00A80CBC" w:rsidRPr="00E52611" w:rsidRDefault="00A80CBC" w:rsidP="000529A4">
      <w:pPr>
        <w:autoSpaceDE w:val="0"/>
        <w:autoSpaceDN w:val="0"/>
        <w:adjustRightInd w:val="0"/>
        <w:spacing w:line="480" w:lineRule="auto"/>
        <w:rPr>
          <w:i/>
        </w:rPr>
      </w:pPr>
      <w:r w:rsidRPr="00E52611">
        <w:lastRenderedPageBreak/>
        <w:tab/>
      </w:r>
      <w:r w:rsidR="00986409" w:rsidRPr="00E52611">
        <w:t>ACORN and affiliates have</w:t>
      </w:r>
      <w:r w:rsidRPr="00E52611">
        <w:t xml:space="preserve"> a long history of supporting Democratic political candidates and issues. </w:t>
      </w:r>
      <w:r w:rsidR="00657DB0" w:rsidRPr="00E52611">
        <w:t>For example,</w:t>
      </w:r>
      <w:r w:rsidRPr="00E52611">
        <w:t xml:space="preserve"> </w:t>
      </w:r>
      <w:r w:rsidR="00DA1249" w:rsidRPr="00E52611">
        <w:t xml:space="preserve">during the 2008 primaries, </w:t>
      </w:r>
      <w:r w:rsidR="00ED77BD" w:rsidRPr="00E52611">
        <w:t>the Obama c</w:t>
      </w:r>
      <w:r w:rsidRPr="00E52611">
        <w:t xml:space="preserve">ampaign </w:t>
      </w:r>
      <w:r w:rsidR="00F31B85" w:rsidRPr="00E52611">
        <w:t>employed</w:t>
      </w:r>
      <w:r w:rsidRPr="00E52611">
        <w:t xml:space="preserve"> ACORN-affiliate Campaign Services, Inc. for “get-out-the vote” efforts.</w:t>
      </w:r>
      <w:r w:rsidR="0019069D" w:rsidRPr="00E52611">
        <w:t xml:space="preserve"> STAFF H. COMM. ON GOV. REFORM, </w:t>
      </w:r>
      <w:r w:rsidR="00723E84" w:rsidRPr="00E52611">
        <w:t>111TH CONG.,</w:t>
      </w:r>
      <w:r w:rsidRPr="00E52611">
        <w:t xml:space="preserve"> </w:t>
      </w:r>
      <w:r w:rsidR="00723E84" w:rsidRPr="00E52611">
        <w:t>IS ACORN INTENTIONALLY STUCTURED AS A CRIMINAL ENTERPRISE?, 10 (July 23, 2009) (Hereafter “</w:t>
      </w:r>
      <w:r w:rsidR="00DF0559" w:rsidRPr="00E52611">
        <w:fldChar w:fldCharType="begin"/>
      </w:r>
      <w:r w:rsidR="00E52611" w:rsidRPr="00E52611">
        <w:instrText xml:space="preserve"> ADDIN BA \xc &lt;@reg&gt; \xl 24 \s QOQUYW000002 \xpl 1 \l "Oversight Comm. Report I" </w:instrText>
      </w:r>
      <w:r w:rsidR="00DF0559" w:rsidRPr="00E52611">
        <w:fldChar w:fldCharType="end"/>
      </w:r>
      <w:bookmarkStart w:id="12" w:name="_BA_Cite_133"/>
      <w:r w:rsidR="00723E84" w:rsidRPr="00E52611">
        <w:t>Oversight Comm. Report</w:t>
      </w:r>
      <w:r w:rsidR="00477010" w:rsidRPr="00E52611">
        <w:t xml:space="preserve"> I</w:t>
      </w:r>
      <w:bookmarkEnd w:id="12"/>
      <w:r w:rsidR="00723E84" w:rsidRPr="00E52611">
        <w:t xml:space="preserve">”). </w:t>
      </w:r>
    </w:p>
    <w:p w:rsidR="00F64365" w:rsidRPr="00E52611" w:rsidRDefault="00F64365" w:rsidP="000529A4">
      <w:pPr>
        <w:autoSpaceDE w:val="0"/>
        <w:autoSpaceDN w:val="0"/>
        <w:adjustRightInd w:val="0"/>
        <w:spacing w:line="480" w:lineRule="auto"/>
        <w:rPr>
          <w:rFonts w:cs="TimesNewRoman"/>
          <w:sz w:val="18"/>
          <w:szCs w:val="18"/>
        </w:rPr>
      </w:pPr>
      <w:r w:rsidRPr="00E52611">
        <w:tab/>
        <w:t>Prior to the</w:t>
      </w:r>
      <w:r w:rsidR="003D3217" w:rsidRPr="00E52611">
        <w:t xml:space="preserve"> passage of the</w:t>
      </w:r>
      <w:r w:rsidR="00C500AE" w:rsidRPr="00E52611">
        <w:t xml:space="preserve"> appropriations l</w:t>
      </w:r>
      <w:r w:rsidRPr="00E52611">
        <w:t xml:space="preserve">aws at issue in this case, ACORN received 10% of its funding </w:t>
      </w:r>
      <w:r w:rsidR="008518B6" w:rsidRPr="00E52611">
        <w:t xml:space="preserve">from </w:t>
      </w:r>
      <w:r w:rsidR="00FA4EBA" w:rsidRPr="00E52611">
        <w:t xml:space="preserve">federal grants. </w:t>
      </w:r>
      <w:r w:rsidR="00DF0559" w:rsidRPr="00E52611">
        <w:fldChar w:fldCharType="begin"/>
      </w:r>
      <w:r w:rsidR="00E52611" w:rsidRPr="00E52611">
        <w:instrText xml:space="preserve"> ADDIN BA \xc &lt;@rec&gt; \xl 9 \s QOQUYW000064 \xpl 1 \l "(R. at 4)" </w:instrText>
      </w:r>
      <w:r w:rsidR="00DF0559" w:rsidRPr="00E52611">
        <w:fldChar w:fldCharType="end"/>
      </w:r>
      <w:bookmarkStart w:id="13" w:name="_BA_Cite_134"/>
      <w:r w:rsidR="00FA4EBA" w:rsidRPr="00E52611">
        <w:t>(R. at 4)</w:t>
      </w:r>
      <w:bookmarkEnd w:id="13"/>
      <w:r w:rsidR="00FA4EBA" w:rsidRPr="00E52611">
        <w:t xml:space="preserve">. </w:t>
      </w:r>
      <w:r w:rsidR="008518B6" w:rsidRPr="00E52611">
        <w:t xml:space="preserve">Between fiscal years 2005 and </w:t>
      </w:r>
      <w:r w:rsidR="00967BA1" w:rsidRPr="00E52611">
        <w:t>2009, ACORN and its affiliates received an estimated $40.</w:t>
      </w:r>
      <w:r w:rsidR="0092263C" w:rsidRPr="00E52611">
        <w:t>4</w:t>
      </w:r>
      <w:r w:rsidR="00967BA1" w:rsidRPr="00E52611">
        <w:t xml:space="preserve"> million in federal grants.</w:t>
      </w:r>
      <w:r w:rsidR="00A975B8" w:rsidRPr="00E52611">
        <w:rPr>
          <w:rStyle w:val="FootnoteReference"/>
          <w:rFonts w:cs="TimesNewRoman"/>
        </w:rPr>
        <w:footnoteReference w:id="2"/>
      </w:r>
      <w:r w:rsidR="00FA4EBA" w:rsidRPr="00E52611">
        <w:t xml:space="preserve"> </w:t>
      </w:r>
      <w:r w:rsidR="00C500AE" w:rsidRPr="00E52611">
        <w:t xml:space="preserve">A </w:t>
      </w:r>
      <w:r w:rsidR="00FA4EBA" w:rsidRPr="00E52611">
        <w:t>Government Accountability Office (GAO) Report determined that</w:t>
      </w:r>
      <w:r w:rsidR="008518B6" w:rsidRPr="00E52611">
        <w:t xml:space="preserve"> ACORN directed</w:t>
      </w:r>
      <w:r w:rsidR="00FA4EBA" w:rsidRPr="00E52611">
        <w:t xml:space="preserve"> 96% of the funds from these grants </w:t>
      </w:r>
      <w:r w:rsidR="00015028" w:rsidRPr="00E52611">
        <w:t>to various</w:t>
      </w:r>
      <w:r w:rsidR="00FA4EBA" w:rsidRPr="00E52611">
        <w:t xml:space="preserve"> </w:t>
      </w:r>
      <w:r w:rsidR="00967BA1" w:rsidRPr="00E52611">
        <w:t>housing-related i</w:t>
      </w:r>
      <w:r w:rsidR="00190434" w:rsidRPr="00E52611">
        <w:t xml:space="preserve">nitiatives. </w:t>
      </w:r>
      <w:r w:rsidR="00883D99" w:rsidRPr="00E52611">
        <w:rPr>
          <w:i/>
        </w:rPr>
        <w:t xml:space="preserve">See </w:t>
      </w:r>
      <w:r w:rsidR="00190434" w:rsidRPr="00E52611">
        <w:t xml:space="preserve">GAO Report at </w:t>
      </w:r>
      <w:r w:rsidR="003D3217" w:rsidRPr="00E52611">
        <w:t>8-13</w:t>
      </w:r>
      <w:r w:rsidR="00190434" w:rsidRPr="00E52611">
        <w:t xml:space="preserve">. </w:t>
      </w:r>
    </w:p>
    <w:p w:rsidR="00821077" w:rsidRPr="00E52611" w:rsidRDefault="00336588" w:rsidP="000529A4">
      <w:pPr>
        <w:autoSpaceDE w:val="0"/>
        <w:autoSpaceDN w:val="0"/>
        <w:adjustRightInd w:val="0"/>
        <w:spacing w:line="480" w:lineRule="auto"/>
        <w:rPr>
          <w:b/>
          <w:u w:val="single"/>
        </w:rPr>
      </w:pPr>
      <w:r w:rsidRPr="00E52611">
        <w:rPr>
          <w:b/>
          <w:u w:val="single"/>
        </w:rPr>
        <w:t xml:space="preserve">2008-2009 Media Coverage </w:t>
      </w:r>
    </w:p>
    <w:p w:rsidR="00336588" w:rsidRPr="00E52611" w:rsidRDefault="00336588" w:rsidP="000529A4">
      <w:pPr>
        <w:autoSpaceDE w:val="0"/>
        <w:autoSpaceDN w:val="0"/>
        <w:adjustRightInd w:val="0"/>
        <w:spacing w:line="480" w:lineRule="auto"/>
      </w:pPr>
      <w:r w:rsidRPr="00E52611">
        <w:rPr>
          <w:b/>
        </w:rPr>
        <w:tab/>
      </w:r>
      <w:r w:rsidRPr="00E52611">
        <w:t xml:space="preserve">Two prominent media stories </w:t>
      </w:r>
      <w:r w:rsidR="005A4D5D" w:rsidRPr="00E52611">
        <w:t xml:space="preserve">published </w:t>
      </w:r>
      <w:r w:rsidR="00E2512E" w:rsidRPr="00E52611">
        <w:t xml:space="preserve">between 2008 and summer 2009 resulted in “serious public scrutiny” </w:t>
      </w:r>
      <w:r w:rsidR="00F517D2" w:rsidRPr="00E52611">
        <w:t xml:space="preserve">surrounding </w:t>
      </w:r>
      <w:r w:rsidR="005A4D5D" w:rsidRPr="00E52611">
        <w:t>ACORN</w:t>
      </w:r>
      <w:r w:rsidR="00E2512E" w:rsidRPr="00E52611">
        <w:t xml:space="preserve">. </w:t>
      </w:r>
      <w:r w:rsidR="00DF0559" w:rsidRPr="00E52611">
        <w:fldChar w:fldCharType="begin"/>
      </w:r>
      <w:r w:rsidR="00E52611" w:rsidRPr="00E52611">
        <w:instrText xml:space="preserve"> ADDIN BA \xc &lt;@rec&gt; \xl 9 \s QOQUYW000066 \xpl 1 \l "(R. at 5)" </w:instrText>
      </w:r>
      <w:r w:rsidR="00DF0559" w:rsidRPr="00E52611">
        <w:fldChar w:fldCharType="end"/>
      </w:r>
      <w:bookmarkStart w:id="15" w:name="_BA_Cite_136"/>
      <w:r w:rsidR="00E2512E" w:rsidRPr="00E52611">
        <w:t>(R. at 5)</w:t>
      </w:r>
      <w:bookmarkEnd w:id="15"/>
      <w:r w:rsidR="00E2512E" w:rsidRPr="00E52611">
        <w:t xml:space="preserve">. </w:t>
      </w:r>
    </w:p>
    <w:p w:rsidR="005D3C55" w:rsidRPr="00E52611" w:rsidRDefault="00190434" w:rsidP="000529A4">
      <w:pPr>
        <w:widowControl w:val="0"/>
        <w:autoSpaceDE w:val="0"/>
        <w:autoSpaceDN w:val="0"/>
        <w:adjustRightInd w:val="0"/>
        <w:spacing w:line="480" w:lineRule="auto"/>
        <w:rPr>
          <w:rFonts w:cs="Times"/>
        </w:rPr>
      </w:pPr>
      <w:r w:rsidRPr="00E52611">
        <w:tab/>
      </w:r>
      <w:r w:rsidR="00903621" w:rsidRPr="00E52611">
        <w:t xml:space="preserve"> </w:t>
      </w:r>
      <w:r w:rsidR="005A42BF" w:rsidRPr="00E52611">
        <w:t>The first story involved an</w:t>
      </w:r>
      <w:r w:rsidR="00061A8F" w:rsidRPr="00E52611">
        <w:t xml:space="preserve"> embezzlement scheme and </w:t>
      </w:r>
      <w:r w:rsidR="001C48B0" w:rsidRPr="00E52611">
        <w:t xml:space="preserve">its </w:t>
      </w:r>
      <w:r w:rsidR="00061A8F" w:rsidRPr="00E52611">
        <w:t xml:space="preserve">subsequent cover-up. </w:t>
      </w:r>
      <w:r w:rsidRPr="00E52611">
        <w:t>“In 1999 and 2000, Dale Rathke, the brother of ACORN’s founder Wade Rathke, embezzled nearly $1 million from th</w:t>
      </w:r>
      <w:r w:rsidR="001C48B0" w:rsidRPr="00E52611">
        <w:t xml:space="preserve">e organization.” </w:t>
      </w:r>
      <w:r w:rsidR="00DF0559" w:rsidRPr="00E52611">
        <w:fldChar w:fldCharType="begin"/>
      </w:r>
      <w:r w:rsidR="00E52611" w:rsidRPr="00E52611">
        <w:instrText xml:space="preserve"> ADDIN BA \xc &lt;@$rec&gt; \xl 9 \s QOQUYW000066 \xpl 1 </w:instrText>
      </w:r>
      <w:r w:rsidR="00DF0559" w:rsidRPr="00E52611">
        <w:fldChar w:fldCharType="end"/>
      </w:r>
      <w:r w:rsidR="001C48B0" w:rsidRPr="00E52611">
        <w:t xml:space="preserve">(R. at 5). </w:t>
      </w:r>
      <w:r w:rsidR="00F2796A" w:rsidRPr="00E52611">
        <w:t>A “</w:t>
      </w:r>
      <w:r w:rsidR="00435C10" w:rsidRPr="00E52611">
        <w:t xml:space="preserve">small group of executives decided to keep the information from almost all </w:t>
      </w:r>
      <w:r w:rsidR="00435C10" w:rsidRPr="00E52611">
        <w:lastRenderedPageBreak/>
        <w:t>of the group’s board members and not to alert law enforcement.” (</w:t>
      </w:r>
      <w:r w:rsidR="00DF0559" w:rsidRPr="00E52611">
        <w:fldChar w:fldCharType="begin"/>
      </w:r>
      <w:r w:rsidR="00E52611" w:rsidRPr="00E52611">
        <w:instrText xml:space="preserve"> ADDIN BA \xc &lt;@$id&gt; \xl 3 \s ID \xpl 1 </w:instrText>
      </w:r>
      <w:r w:rsidR="00DF0559" w:rsidRPr="00E52611">
        <w:fldChar w:fldCharType="end"/>
      </w:r>
      <w:bookmarkStart w:id="16" w:name="_BA_Cite_137"/>
      <w:r w:rsidR="00435C10" w:rsidRPr="00E52611">
        <w:rPr>
          <w:i/>
        </w:rPr>
        <w:t>Id.</w:t>
      </w:r>
      <w:bookmarkEnd w:id="16"/>
      <w:r w:rsidR="00435C10" w:rsidRPr="00E52611">
        <w:t>). The Rathke family agreed to repay the amount in exchange for confidentiality. (</w:t>
      </w:r>
      <w:r w:rsidR="00DF0559" w:rsidRPr="00E52611">
        <w:fldChar w:fldCharType="begin"/>
      </w:r>
      <w:r w:rsidR="00E52611" w:rsidRPr="00E52611">
        <w:instrText xml:space="preserve"> ADDIN BA \xc &lt;@$id&gt; \xl 3 \s ID \xpl 1 </w:instrText>
      </w:r>
      <w:r w:rsidR="00DF0559" w:rsidRPr="00E52611">
        <w:fldChar w:fldCharType="end"/>
      </w:r>
      <w:r w:rsidR="00435C10" w:rsidRPr="00E52611">
        <w:rPr>
          <w:i/>
        </w:rPr>
        <w:t>Id.</w:t>
      </w:r>
      <w:r w:rsidR="00435C10" w:rsidRPr="00E52611">
        <w:t xml:space="preserve">). </w:t>
      </w:r>
      <w:r w:rsidR="00044CB8" w:rsidRPr="00E52611">
        <w:t>The</w:t>
      </w:r>
      <w:r w:rsidRPr="00E52611">
        <w:t xml:space="preserve"> embezzlement </w:t>
      </w:r>
      <w:r w:rsidR="000A6B24" w:rsidRPr="00E52611">
        <w:t>remained</w:t>
      </w:r>
      <w:r w:rsidRPr="00E52611">
        <w:t xml:space="preserve"> secret from </w:t>
      </w:r>
      <w:r w:rsidR="003F62B3" w:rsidRPr="00E52611">
        <w:t>the majority of ACORN leaders</w:t>
      </w:r>
      <w:r w:rsidR="00336588" w:rsidRPr="00E52611">
        <w:t xml:space="preserve"> until a whistleblower publicized the information in June 2008</w:t>
      </w:r>
      <w:r w:rsidRPr="00E52611">
        <w:t xml:space="preserve">. </w:t>
      </w:r>
      <w:r w:rsidR="009B5CB3" w:rsidRPr="00E52611">
        <w:t>(</w:t>
      </w:r>
      <w:r w:rsidR="009B5CB3" w:rsidRPr="00E52611">
        <w:rPr>
          <w:i/>
        </w:rPr>
        <w:t xml:space="preserve">See </w:t>
      </w:r>
      <w:r w:rsidR="00DF0559" w:rsidRPr="00E52611">
        <w:fldChar w:fldCharType="begin"/>
      </w:r>
      <w:r w:rsidR="00E52611" w:rsidRPr="00E52611">
        <w:instrText xml:space="preserve"> ADDIN BA \xc &lt;@$id&gt; \xl 3 \s ID \xpl 1 </w:instrText>
      </w:r>
      <w:r w:rsidR="00DF0559" w:rsidRPr="00E52611">
        <w:fldChar w:fldCharType="end"/>
      </w:r>
      <w:r w:rsidR="009B5CB3" w:rsidRPr="00E52611">
        <w:rPr>
          <w:i/>
        </w:rPr>
        <w:t>id.</w:t>
      </w:r>
      <w:r w:rsidR="009B5CB3" w:rsidRPr="00E52611">
        <w:t xml:space="preserve">). </w:t>
      </w:r>
      <w:r w:rsidR="00D078D4" w:rsidRPr="00E52611">
        <w:t>When ACORN leadership learned of the embezzlement, it t</w:t>
      </w:r>
      <w:r w:rsidR="007647F7" w:rsidRPr="00E52611">
        <w:t>erminated Wade Rathke</w:t>
      </w:r>
      <w:r w:rsidR="009F52DA" w:rsidRPr="00E52611">
        <w:t xml:space="preserve"> and </w:t>
      </w:r>
      <w:r w:rsidR="00F732B1" w:rsidRPr="00E52611">
        <w:rPr>
          <w:rFonts w:cs="Times"/>
        </w:rPr>
        <w:t>“</w:t>
      </w:r>
      <w:r w:rsidR="007647F7" w:rsidRPr="00E52611">
        <w:rPr>
          <w:rFonts w:cs="Times"/>
        </w:rPr>
        <w:t>pursued a significant effort to evaluate and reform its financial and governance structures.</w:t>
      </w:r>
      <w:r w:rsidR="00F732B1" w:rsidRPr="00E52611">
        <w:rPr>
          <w:rFonts w:cs="Times"/>
        </w:rPr>
        <w:t xml:space="preserve">” </w:t>
      </w:r>
      <w:r w:rsidR="009F52DA" w:rsidRPr="00E52611">
        <w:t xml:space="preserve">Harshbarger at 7. </w:t>
      </w:r>
    </w:p>
    <w:p w:rsidR="00FD6ED6" w:rsidRPr="00E52611" w:rsidRDefault="00FD6ED6" w:rsidP="000529A4">
      <w:pPr>
        <w:widowControl w:val="0"/>
        <w:autoSpaceDE w:val="0"/>
        <w:autoSpaceDN w:val="0"/>
        <w:adjustRightInd w:val="0"/>
        <w:spacing w:line="480" w:lineRule="auto"/>
        <w:rPr>
          <w:rFonts w:cs="Times"/>
        </w:rPr>
      </w:pPr>
      <w:r w:rsidRPr="00E52611">
        <w:rPr>
          <w:rFonts w:cs="Times"/>
        </w:rPr>
        <w:tab/>
      </w:r>
      <w:r w:rsidR="00F51B60" w:rsidRPr="00E52611">
        <w:rPr>
          <w:rFonts w:cs="Times"/>
        </w:rPr>
        <w:t xml:space="preserve">The second set of media stories revolved around allegations </w:t>
      </w:r>
      <w:r w:rsidR="007E3D70" w:rsidRPr="00E52611">
        <w:rPr>
          <w:rFonts w:cs="Times"/>
        </w:rPr>
        <w:t xml:space="preserve">of ACORN’s connection </w:t>
      </w:r>
      <w:r w:rsidR="00F51B60" w:rsidRPr="00E52611">
        <w:rPr>
          <w:rFonts w:cs="Times"/>
        </w:rPr>
        <w:t xml:space="preserve">to voter </w:t>
      </w:r>
      <w:r w:rsidR="0021100E" w:rsidRPr="00E52611">
        <w:rPr>
          <w:rFonts w:cs="Times"/>
        </w:rPr>
        <w:t xml:space="preserve">registration fraud. </w:t>
      </w:r>
      <w:r w:rsidR="00DF0559" w:rsidRPr="00E52611">
        <w:fldChar w:fldCharType="begin"/>
      </w:r>
      <w:r w:rsidR="00E52611" w:rsidRPr="00E52611">
        <w:instrText xml:space="preserve"> ADDIN BA \xc &lt;@$rec&gt; \xl 9 \s QOQUYW000066 \xpl 1 </w:instrText>
      </w:r>
      <w:r w:rsidR="00DF0559" w:rsidRPr="00E52611">
        <w:fldChar w:fldCharType="end"/>
      </w:r>
      <w:r w:rsidR="0021100E" w:rsidRPr="00E52611">
        <w:rPr>
          <w:rFonts w:cs="Times"/>
        </w:rPr>
        <w:t>(R. at 5). Between October 2008 and May 2009,</w:t>
      </w:r>
      <w:r w:rsidR="00F51B60" w:rsidRPr="00E52611">
        <w:rPr>
          <w:rFonts w:cs="Times"/>
        </w:rPr>
        <w:t xml:space="preserve"> two ACORN workers were convicted of voter </w:t>
      </w:r>
      <w:r w:rsidR="0021100E" w:rsidRPr="00E52611">
        <w:rPr>
          <w:rFonts w:cs="Times"/>
        </w:rPr>
        <w:t xml:space="preserve">registration </w:t>
      </w:r>
      <w:r w:rsidR="00F51B60" w:rsidRPr="00E52611">
        <w:rPr>
          <w:rFonts w:cs="Times"/>
        </w:rPr>
        <w:t>fraud. (</w:t>
      </w:r>
      <w:r w:rsidR="00DF0559" w:rsidRPr="00E52611">
        <w:fldChar w:fldCharType="begin"/>
      </w:r>
      <w:r w:rsidR="00E52611" w:rsidRPr="00E52611">
        <w:instrText xml:space="preserve"> ADDIN BA \xc &lt;@$id&gt; \xl 3 \s ID \xpl 1 </w:instrText>
      </w:r>
      <w:r w:rsidR="00DF0559" w:rsidRPr="00E52611">
        <w:fldChar w:fldCharType="end"/>
      </w:r>
      <w:r w:rsidR="00F51B60" w:rsidRPr="00E52611">
        <w:rPr>
          <w:rFonts w:cs="Times"/>
          <w:i/>
        </w:rPr>
        <w:t>Id</w:t>
      </w:r>
      <w:r w:rsidR="00F51B60" w:rsidRPr="00E52611">
        <w:rPr>
          <w:rFonts w:cs="Times"/>
        </w:rPr>
        <w:t>.).</w:t>
      </w:r>
      <w:r w:rsidR="00877E8C" w:rsidRPr="00E52611">
        <w:rPr>
          <w:rFonts w:cs="Times"/>
        </w:rPr>
        <w:t xml:space="preserve"> </w:t>
      </w:r>
      <w:r w:rsidR="0011161D" w:rsidRPr="00E52611">
        <w:rPr>
          <w:rFonts w:cs="Times"/>
        </w:rPr>
        <w:t xml:space="preserve">In response, </w:t>
      </w:r>
      <w:r w:rsidR="00877E8C" w:rsidRPr="00E52611">
        <w:rPr>
          <w:rFonts w:cs="Times"/>
        </w:rPr>
        <w:t xml:space="preserve">ACORN developed “good governance policies” to address weaknesses in management, but </w:t>
      </w:r>
      <w:r w:rsidR="0011161D" w:rsidRPr="00E52611">
        <w:rPr>
          <w:rFonts w:cs="Times"/>
        </w:rPr>
        <w:t>underwent</w:t>
      </w:r>
      <w:r w:rsidR="00877E8C" w:rsidRPr="00E52611">
        <w:rPr>
          <w:rFonts w:cs="Times"/>
        </w:rPr>
        <w:t xml:space="preserve"> further public scrutiny when a series of “hidden camera” videos showing interactions </w:t>
      </w:r>
      <w:r w:rsidR="0011161D" w:rsidRPr="00E52611">
        <w:rPr>
          <w:rFonts w:cs="Times"/>
        </w:rPr>
        <w:t>between</w:t>
      </w:r>
      <w:r w:rsidR="00877E8C" w:rsidRPr="00E52611">
        <w:rPr>
          <w:rFonts w:cs="Times"/>
        </w:rPr>
        <w:t xml:space="preserve"> ACORN employees</w:t>
      </w:r>
      <w:r w:rsidR="0011161D" w:rsidRPr="00E52611">
        <w:rPr>
          <w:rFonts w:cs="Times"/>
        </w:rPr>
        <w:t xml:space="preserve"> and apparently unsavory people</w:t>
      </w:r>
      <w:r w:rsidR="00877E8C" w:rsidRPr="00E52611">
        <w:rPr>
          <w:rFonts w:cs="Times"/>
        </w:rPr>
        <w:t xml:space="preserve"> surfaced in summer 2009. (</w:t>
      </w:r>
      <w:r w:rsidR="00DF0559" w:rsidRPr="00E52611">
        <w:fldChar w:fldCharType="begin"/>
      </w:r>
      <w:r w:rsidR="00E52611" w:rsidRPr="00E52611">
        <w:instrText xml:space="preserve"> ADDIN BA \xc &lt;@$id&gt; \xl 3 \s ID \xpl 1 </w:instrText>
      </w:r>
      <w:r w:rsidR="00DF0559" w:rsidRPr="00E52611">
        <w:fldChar w:fldCharType="end"/>
      </w:r>
      <w:r w:rsidR="00877E8C" w:rsidRPr="00E52611">
        <w:rPr>
          <w:rFonts w:cs="Times"/>
          <w:i/>
        </w:rPr>
        <w:t>Id</w:t>
      </w:r>
      <w:r w:rsidR="00B94FCB" w:rsidRPr="00E52611">
        <w:rPr>
          <w:rFonts w:cs="Times"/>
          <w:i/>
        </w:rPr>
        <w:t>.</w:t>
      </w:r>
      <w:r w:rsidR="00877E8C" w:rsidRPr="00E52611">
        <w:rPr>
          <w:rFonts w:cs="Times"/>
        </w:rPr>
        <w:t>).</w:t>
      </w:r>
      <w:r w:rsidR="00F51B60" w:rsidRPr="00E52611">
        <w:rPr>
          <w:rFonts w:cs="Times"/>
          <w:i/>
        </w:rPr>
        <w:t xml:space="preserve"> </w:t>
      </w:r>
      <w:r w:rsidR="00D37163" w:rsidRPr="00E52611">
        <w:rPr>
          <w:rFonts w:cs="Times"/>
        </w:rPr>
        <w:t>Conservative activists James O’Keefe and Hannah Giles “</w:t>
      </w:r>
      <w:r w:rsidRPr="00E52611">
        <w:rPr>
          <w:rFonts w:cs="Times"/>
        </w:rPr>
        <w:t xml:space="preserve">visited eight ACORN or ACORN Housing offices during July and August 2009, pretending to seek </w:t>
      </w:r>
      <w:r w:rsidR="002E7865" w:rsidRPr="00E52611">
        <w:rPr>
          <w:rFonts w:cs="Times"/>
        </w:rPr>
        <w:t>assistance with illegal matters</w:t>
      </w:r>
      <w:r w:rsidRPr="00E52611">
        <w:rPr>
          <w:rFonts w:cs="Times"/>
        </w:rPr>
        <w:t>.</w:t>
      </w:r>
      <w:r w:rsidR="00EE31CD" w:rsidRPr="00E52611">
        <w:rPr>
          <w:rFonts w:cs="Times"/>
        </w:rPr>
        <w:t>” Harshbarger at 11.</w:t>
      </w:r>
      <w:r w:rsidRPr="00E52611">
        <w:rPr>
          <w:rFonts w:cs="Times"/>
        </w:rPr>
        <w:t xml:space="preserve"> </w:t>
      </w:r>
      <w:r w:rsidR="00EE31CD" w:rsidRPr="00E52611">
        <w:rPr>
          <w:rFonts w:cs="Times"/>
        </w:rPr>
        <w:t>“</w:t>
      </w:r>
      <w:r w:rsidRPr="00E52611">
        <w:rPr>
          <w:rFonts w:cs="Times"/>
        </w:rPr>
        <w:t xml:space="preserve">The publicly released versions of the videos show ACORN or ACORN Housing employees apparently willing to offer ways to </w:t>
      </w:r>
      <w:r w:rsidR="00172CD5" w:rsidRPr="00E52611">
        <w:rPr>
          <w:rFonts w:cs="Times"/>
        </w:rPr>
        <w:t>e</w:t>
      </w:r>
      <w:r w:rsidR="00DF2E52" w:rsidRPr="00E52611">
        <w:rPr>
          <w:rFonts w:cs="Times"/>
        </w:rPr>
        <w:t>ffect</w:t>
      </w:r>
      <w:r w:rsidRPr="00E52611">
        <w:rPr>
          <w:rFonts w:cs="Times"/>
        </w:rPr>
        <w:t xml:space="preserve"> illegal schemes involving tax advice, misuse of public funds and illegal</w:t>
      </w:r>
      <w:r w:rsidR="00EE31CD" w:rsidRPr="00E52611">
        <w:rPr>
          <w:rFonts w:cs="Times"/>
        </w:rPr>
        <w:t xml:space="preserve"> and</w:t>
      </w:r>
      <w:r w:rsidRPr="00E52611">
        <w:rPr>
          <w:rFonts w:cs="Times"/>
        </w:rPr>
        <w:t xml:space="preserve"> </w:t>
      </w:r>
      <w:r w:rsidR="00EE31CD" w:rsidRPr="00E52611">
        <w:rPr>
          <w:rFonts w:cs="Times"/>
        </w:rPr>
        <w:t>child trafficking.</w:t>
      </w:r>
      <w:r w:rsidR="00DE2B43" w:rsidRPr="00E52611">
        <w:rPr>
          <w:rFonts w:cs="Times"/>
        </w:rPr>
        <w:t>”</w:t>
      </w:r>
      <w:r w:rsidR="00EE31CD" w:rsidRPr="00E52611">
        <w:rPr>
          <w:rFonts w:cs="Times"/>
        </w:rPr>
        <w:t xml:space="preserve"> </w:t>
      </w:r>
      <w:r w:rsidR="00DF0559" w:rsidRPr="00E52611">
        <w:fldChar w:fldCharType="begin"/>
      </w:r>
      <w:r w:rsidR="00E52611" w:rsidRPr="00E52611">
        <w:instrText xml:space="preserve"> ADDIN BA \xc &lt;@$id&gt; \xl 3 \s ID </w:instrText>
      </w:r>
      <w:r w:rsidR="00DF0559" w:rsidRPr="00E52611">
        <w:fldChar w:fldCharType="end"/>
      </w:r>
      <w:r w:rsidR="00EE31CD" w:rsidRPr="00E52611">
        <w:rPr>
          <w:rFonts w:cs="Times"/>
          <w:i/>
        </w:rPr>
        <w:t>Id.</w:t>
      </w:r>
      <w:r w:rsidR="00DE2B43" w:rsidRPr="00E52611">
        <w:rPr>
          <w:rFonts w:cs="Times"/>
        </w:rPr>
        <w:t xml:space="preserve"> </w:t>
      </w:r>
      <w:r w:rsidR="004C19FA" w:rsidRPr="00E52611">
        <w:rPr>
          <w:rFonts w:cs="Times"/>
        </w:rPr>
        <w:t>Only</w:t>
      </w:r>
      <w:r w:rsidR="00DE2B43" w:rsidRPr="00E52611">
        <w:rPr>
          <w:rFonts w:cs="Times"/>
        </w:rPr>
        <w:t xml:space="preserve"> edited versions </w:t>
      </w:r>
      <w:r w:rsidR="00E41A6F" w:rsidRPr="00E52611">
        <w:rPr>
          <w:rFonts w:cs="Times"/>
        </w:rPr>
        <w:t xml:space="preserve">of the </w:t>
      </w:r>
      <w:r w:rsidRPr="00E52611">
        <w:rPr>
          <w:rFonts w:cs="Times"/>
        </w:rPr>
        <w:t>videos</w:t>
      </w:r>
      <w:r w:rsidR="00E41A6F" w:rsidRPr="00E52611">
        <w:rPr>
          <w:rFonts w:cs="Times"/>
        </w:rPr>
        <w:t xml:space="preserve"> were made public</w:t>
      </w:r>
      <w:r w:rsidR="005820EE" w:rsidRPr="00E52611">
        <w:rPr>
          <w:rFonts w:cs="Times"/>
        </w:rPr>
        <w:t xml:space="preserve">. </w:t>
      </w:r>
      <w:r w:rsidR="00DF0559" w:rsidRPr="00E52611">
        <w:fldChar w:fldCharType="begin"/>
      </w:r>
      <w:r w:rsidR="00E52611" w:rsidRPr="00E52611">
        <w:instrText xml:space="preserve"> ADDIN BA \xc &lt;@$id&gt; \xl 3 \s ID </w:instrText>
      </w:r>
      <w:r w:rsidR="00DF0559" w:rsidRPr="00E52611">
        <w:fldChar w:fldCharType="end"/>
      </w:r>
      <w:r w:rsidR="005820EE" w:rsidRPr="00E52611">
        <w:rPr>
          <w:rFonts w:cs="Times"/>
          <w:i/>
        </w:rPr>
        <w:t xml:space="preserve">Id. </w:t>
      </w:r>
      <w:r w:rsidR="005820EE" w:rsidRPr="00E52611">
        <w:rPr>
          <w:rFonts w:cs="Times"/>
        </w:rPr>
        <w:t xml:space="preserve">The videos </w:t>
      </w:r>
      <w:r w:rsidR="00E41A6F" w:rsidRPr="00E52611">
        <w:rPr>
          <w:rFonts w:cs="Times"/>
        </w:rPr>
        <w:t>triggered “</w:t>
      </w:r>
      <w:r w:rsidRPr="00E52611">
        <w:rPr>
          <w:rFonts w:cs="Times"/>
        </w:rPr>
        <w:t>a period of intense coverage and commentary in traditional and social media.</w:t>
      </w:r>
      <w:r w:rsidR="00E41A6F" w:rsidRPr="00E52611">
        <w:rPr>
          <w:rFonts w:cs="Times"/>
        </w:rPr>
        <w:t xml:space="preserve">” </w:t>
      </w:r>
      <w:r w:rsidR="00DF0559" w:rsidRPr="00E52611">
        <w:fldChar w:fldCharType="begin"/>
      </w:r>
      <w:r w:rsidR="00E52611" w:rsidRPr="00E52611">
        <w:instrText xml:space="preserve"> ADDIN BA \xc &lt;@$id&gt; \xl 3 \s ID </w:instrText>
      </w:r>
      <w:r w:rsidR="00DF0559" w:rsidRPr="00E52611">
        <w:fldChar w:fldCharType="end"/>
      </w:r>
      <w:r w:rsidR="00E41A6F" w:rsidRPr="00E52611">
        <w:rPr>
          <w:rFonts w:cs="Times"/>
          <w:i/>
        </w:rPr>
        <w:t>Id.</w:t>
      </w:r>
      <w:r w:rsidRPr="00E52611">
        <w:rPr>
          <w:rFonts w:cs="Times"/>
        </w:rPr>
        <w:t xml:space="preserve"> </w:t>
      </w:r>
    </w:p>
    <w:p w:rsidR="00E21D52" w:rsidRPr="00E52611" w:rsidRDefault="00E21D52" w:rsidP="000529A4">
      <w:pPr>
        <w:autoSpaceDE w:val="0"/>
        <w:autoSpaceDN w:val="0"/>
        <w:adjustRightInd w:val="0"/>
        <w:spacing w:line="480" w:lineRule="auto"/>
        <w:rPr>
          <w:u w:val="single"/>
        </w:rPr>
      </w:pPr>
      <w:r w:rsidRPr="00E52611">
        <w:rPr>
          <w:b/>
          <w:u w:val="single"/>
        </w:rPr>
        <w:lastRenderedPageBreak/>
        <w:t>The Appropriations Laws</w:t>
      </w:r>
      <w:r w:rsidR="001005BA" w:rsidRPr="00E52611">
        <w:rPr>
          <w:b/>
          <w:u w:val="single"/>
        </w:rPr>
        <w:t xml:space="preserve"> </w:t>
      </w:r>
      <w:r w:rsidR="0070480B" w:rsidRPr="00E52611">
        <w:rPr>
          <w:b/>
          <w:u w:val="single"/>
        </w:rPr>
        <w:t>and Proceedings Below</w:t>
      </w:r>
    </w:p>
    <w:p w:rsidR="000A3080" w:rsidRPr="00E52611" w:rsidRDefault="004B3659" w:rsidP="000529A4">
      <w:pPr>
        <w:autoSpaceDE w:val="0"/>
        <w:autoSpaceDN w:val="0"/>
        <w:adjustRightInd w:val="0"/>
        <w:spacing w:line="480" w:lineRule="auto"/>
      </w:pPr>
      <w:r w:rsidRPr="00E52611">
        <w:tab/>
        <w:t>Against this background, s</w:t>
      </w:r>
      <w:r w:rsidR="00596EE1" w:rsidRPr="00E52611">
        <w:t xml:space="preserve">ome members of Congress began taking notice of </w:t>
      </w:r>
      <w:r w:rsidR="002A665B" w:rsidRPr="00E52611">
        <w:t>ACORN</w:t>
      </w:r>
      <w:r w:rsidR="000A3080" w:rsidRPr="00E52611">
        <w:t>. On April 1, 2009</w:t>
      </w:r>
      <w:r w:rsidR="002A665B" w:rsidRPr="00E52611">
        <w:t xml:space="preserve">, </w:t>
      </w:r>
      <w:r w:rsidR="00F31B85" w:rsidRPr="00E52611">
        <w:t xml:space="preserve">Congressman </w:t>
      </w:r>
      <w:r w:rsidR="002A665B" w:rsidRPr="00E52611">
        <w:t>Darrell Issa, ranking member of the House Committee on Oversight and Government Reform, published an 88-page report entitled “</w:t>
      </w:r>
      <w:r w:rsidR="006F15CC" w:rsidRPr="00E52611">
        <w:t xml:space="preserve">Is ACORN Intentionally Structured as a Criminal </w:t>
      </w:r>
      <w:r w:rsidR="009E3260" w:rsidRPr="00E52611">
        <w:t>Enterprise?”</w:t>
      </w:r>
      <w:r w:rsidR="00502A1E" w:rsidRPr="00E52611">
        <w:t>, which was later read into the House record.</w:t>
      </w:r>
      <w:r w:rsidR="009E3260" w:rsidRPr="00E52611">
        <w:t xml:space="preserve"> </w:t>
      </w:r>
      <w:r w:rsidR="00DF0559" w:rsidRPr="00E52611">
        <w:fldChar w:fldCharType="begin"/>
      </w:r>
      <w:r w:rsidR="00E52611" w:rsidRPr="00E52611">
        <w:instrText xml:space="preserve"> ADDIN BA \xc &lt;@leg&gt; \xl 47 \s QOQUYW000003 \l "155 Cong. Rec. S9309 (daily ed. Sept. 14, 2009)" </w:instrText>
      </w:r>
      <w:r w:rsidR="00DF0559" w:rsidRPr="00E52611">
        <w:fldChar w:fldCharType="end"/>
      </w:r>
      <w:bookmarkStart w:id="17" w:name="_BA_Cite_138"/>
      <w:r w:rsidR="005E2CFD" w:rsidRPr="00E52611">
        <w:t>155 Cong. Rec. S9309 (daily ed. Sept. 14, 2009)</w:t>
      </w:r>
      <w:bookmarkEnd w:id="17"/>
      <w:r w:rsidR="005E2CFD" w:rsidRPr="00E52611">
        <w:t xml:space="preserve"> (statement of Sen</w:t>
      </w:r>
      <w:r w:rsidR="00B94FCB" w:rsidRPr="00E52611">
        <w:t xml:space="preserve">. Johanns). The report </w:t>
      </w:r>
      <w:r w:rsidR="00400AD2" w:rsidRPr="00E52611">
        <w:t>accused</w:t>
      </w:r>
      <w:r w:rsidR="00B94FCB" w:rsidRPr="00E52611">
        <w:t xml:space="preserve"> ACORN of </w:t>
      </w:r>
      <w:r w:rsidR="00997B4D" w:rsidRPr="00E52611">
        <w:t>many</w:t>
      </w:r>
      <w:r w:rsidR="000A3080" w:rsidRPr="00E52611">
        <w:t xml:space="preserve"> criminal and civil wrongdoings</w:t>
      </w:r>
      <w:r w:rsidR="00431881" w:rsidRPr="00E52611">
        <w:t xml:space="preserve"> including </w:t>
      </w:r>
      <w:r w:rsidR="009E3260" w:rsidRPr="00E52611">
        <w:t xml:space="preserve">conspiracy to defraud the United States, falsifying filings to the Internal Revenue Service and </w:t>
      </w:r>
      <w:r w:rsidR="00B94FCB" w:rsidRPr="00E52611">
        <w:t xml:space="preserve">the </w:t>
      </w:r>
      <w:r w:rsidR="009E3260" w:rsidRPr="00E52611">
        <w:t xml:space="preserve">Department of Labor, </w:t>
      </w:r>
      <w:r w:rsidR="00340932" w:rsidRPr="00E52611">
        <w:t xml:space="preserve">and </w:t>
      </w:r>
      <w:r w:rsidR="009E3260" w:rsidRPr="00E52611">
        <w:t>violating th</w:t>
      </w:r>
      <w:r w:rsidR="00340932" w:rsidRPr="00E52611">
        <w:t xml:space="preserve">e </w:t>
      </w:r>
      <w:r w:rsidR="00DF0559" w:rsidRPr="00E52611">
        <w:fldChar w:fldCharType="begin"/>
      </w:r>
      <w:r w:rsidR="00E52611" w:rsidRPr="00E52611">
        <w:instrText xml:space="preserve"> ADDIN BA \xc &lt;@st&gt; \xl 24 \s QOQUYW000004 \l "Fair Labor Standards Act" </w:instrText>
      </w:r>
      <w:r w:rsidR="00DF0559" w:rsidRPr="00E52611">
        <w:fldChar w:fldCharType="end"/>
      </w:r>
      <w:bookmarkStart w:id="18" w:name="_BA_Cite_139"/>
      <w:r w:rsidR="00340932" w:rsidRPr="00E52611">
        <w:t>Fair Labor Standards Act</w:t>
      </w:r>
      <w:bookmarkEnd w:id="18"/>
      <w:r w:rsidR="00340932" w:rsidRPr="00E52611">
        <w:t xml:space="preserve"> and </w:t>
      </w:r>
      <w:r w:rsidR="00DF0559" w:rsidRPr="00E52611">
        <w:fldChar w:fldCharType="begin"/>
      </w:r>
      <w:r w:rsidR="00E52611" w:rsidRPr="00E52611">
        <w:instrText xml:space="preserve"> ADDIN BA \xc &lt;@st&gt; \xl 5 \s QOQUYW000005 \l "ERISA" </w:instrText>
      </w:r>
      <w:r w:rsidR="00DF0559" w:rsidRPr="00E52611">
        <w:fldChar w:fldCharType="end"/>
      </w:r>
      <w:bookmarkStart w:id="19" w:name="_BA_Cite_140"/>
      <w:r w:rsidR="00340932" w:rsidRPr="00E52611">
        <w:t>ERISA</w:t>
      </w:r>
      <w:bookmarkEnd w:id="19"/>
      <w:r w:rsidR="009E3260" w:rsidRPr="00E52611">
        <w:t xml:space="preserve">. </w:t>
      </w:r>
      <w:r w:rsidR="00DF0559" w:rsidRPr="00E52611">
        <w:fldChar w:fldCharType="begin"/>
      </w:r>
      <w:r w:rsidR="00E52611" w:rsidRPr="00E52611">
        <w:instrText xml:space="preserve"> ADDIN BA \xc &lt;@$reg&gt; \xl 24 \s QOQUYW000002 </w:instrText>
      </w:r>
      <w:r w:rsidR="00DF0559" w:rsidRPr="00E52611">
        <w:fldChar w:fldCharType="end"/>
      </w:r>
      <w:bookmarkStart w:id="20" w:name="_BA_Cite_141"/>
      <w:r w:rsidR="0045557F" w:rsidRPr="00E52611">
        <w:t>Oversight Comm. Report I</w:t>
      </w:r>
      <w:bookmarkEnd w:id="20"/>
      <w:r w:rsidR="0061790A" w:rsidRPr="00E52611">
        <w:rPr>
          <w:i/>
        </w:rPr>
        <w:t xml:space="preserve"> </w:t>
      </w:r>
      <w:r w:rsidR="0061790A" w:rsidRPr="00E52611">
        <w:t>at 4.</w:t>
      </w:r>
      <w:r w:rsidR="009E3260" w:rsidRPr="00E52611">
        <w:t xml:space="preserve"> </w:t>
      </w:r>
      <w:r w:rsidR="00F31B85" w:rsidRPr="00E52611">
        <w:t>It further</w:t>
      </w:r>
      <w:r w:rsidR="009E3260" w:rsidRPr="00E52611">
        <w:t xml:space="preserve"> alleged that ACORN was guilty of an elaborate</w:t>
      </w:r>
      <w:r w:rsidR="00F31B85" w:rsidRPr="00E52611">
        <w:t xml:space="preserve"> scheme of</w:t>
      </w:r>
      <w:r w:rsidR="00431881" w:rsidRPr="00E52611">
        <w:t xml:space="preserve"> </w:t>
      </w:r>
      <w:r w:rsidR="00B94FCB" w:rsidRPr="00E52611">
        <w:t xml:space="preserve">voter registration </w:t>
      </w:r>
      <w:r w:rsidR="009E3260" w:rsidRPr="00E52611">
        <w:t xml:space="preserve">fraud. </w:t>
      </w:r>
      <w:r w:rsidR="00DF0559" w:rsidRPr="00E52611">
        <w:fldChar w:fldCharType="begin"/>
      </w:r>
      <w:r w:rsidR="00E52611" w:rsidRPr="00E52611">
        <w:instrText xml:space="preserve"> ADDIN BA \xc &lt;@$id&gt; \xl 8 \s ID \xhfl Rep </w:instrText>
      </w:r>
      <w:r w:rsidR="00DF0559" w:rsidRPr="00E52611">
        <w:fldChar w:fldCharType="end"/>
      </w:r>
      <w:r w:rsidR="0061790A" w:rsidRPr="00E52611">
        <w:rPr>
          <w:i/>
        </w:rPr>
        <w:t xml:space="preserve">Id. </w:t>
      </w:r>
      <w:r w:rsidR="0061790A" w:rsidRPr="00E52611">
        <w:t xml:space="preserve">at 7. </w:t>
      </w:r>
      <w:r w:rsidR="009E3260" w:rsidRPr="00E52611">
        <w:t xml:space="preserve"> </w:t>
      </w:r>
      <w:r w:rsidR="00971D95" w:rsidRPr="00E52611">
        <w:t>The Report also criticized ACORN for supporting Democratic</w:t>
      </w:r>
      <w:r w:rsidR="007532BA" w:rsidRPr="00E52611">
        <w:t xml:space="preserve"> </w:t>
      </w:r>
      <w:r w:rsidR="00971D95" w:rsidRPr="00E52611">
        <w:t xml:space="preserve">candidates including </w:t>
      </w:r>
      <w:r w:rsidR="00B23892" w:rsidRPr="00E52611">
        <w:t xml:space="preserve">Barack Obama. </w:t>
      </w:r>
      <w:r w:rsidR="00DF0559" w:rsidRPr="00E52611">
        <w:fldChar w:fldCharType="begin"/>
      </w:r>
      <w:r w:rsidR="00E52611" w:rsidRPr="00E52611">
        <w:instrText xml:space="preserve"> ADDIN BA \xc &lt;@$id&gt; \xl 9 \s ID \xhfl Rep </w:instrText>
      </w:r>
      <w:r w:rsidR="00DF0559" w:rsidRPr="00E52611">
        <w:fldChar w:fldCharType="end"/>
      </w:r>
      <w:r w:rsidR="00A23D58" w:rsidRPr="00E52611">
        <w:rPr>
          <w:i/>
        </w:rPr>
        <w:t>Id.</w:t>
      </w:r>
      <w:r w:rsidR="00A23D58" w:rsidRPr="00E52611">
        <w:t xml:space="preserve"> at</w:t>
      </w:r>
      <w:r w:rsidR="00B23892" w:rsidRPr="00E52611">
        <w:t xml:space="preserve"> 52. </w:t>
      </w:r>
    </w:p>
    <w:p w:rsidR="003A468D" w:rsidRPr="00E52611" w:rsidRDefault="000A3080" w:rsidP="000529A4">
      <w:pPr>
        <w:spacing w:line="480" w:lineRule="auto"/>
      </w:pPr>
      <w:r w:rsidRPr="00E52611">
        <w:tab/>
      </w:r>
      <w:r w:rsidR="00FE75FA" w:rsidRPr="00E52611">
        <w:t xml:space="preserve">Following the </w:t>
      </w:r>
      <w:r w:rsidR="00F31B85" w:rsidRPr="00E52611">
        <w:t>Oversight Committee R</w:t>
      </w:r>
      <w:r w:rsidR="00502A1E" w:rsidRPr="00E52611">
        <w:t>eport</w:t>
      </w:r>
      <w:r w:rsidR="000C643D" w:rsidRPr="00E52611">
        <w:t xml:space="preserve"> and </w:t>
      </w:r>
      <w:r w:rsidR="00DA0940" w:rsidRPr="00E52611">
        <w:t>the public scrutiny ACORN endured between 2008</w:t>
      </w:r>
      <w:r w:rsidR="002470E3" w:rsidRPr="00E52611">
        <w:t xml:space="preserve"> and </w:t>
      </w:r>
      <w:r w:rsidR="008F0D88" w:rsidRPr="00E52611">
        <w:t>20</w:t>
      </w:r>
      <w:r w:rsidR="00DA0940" w:rsidRPr="00E52611">
        <w:t>09</w:t>
      </w:r>
      <w:r w:rsidR="000C643D" w:rsidRPr="00E52611">
        <w:t xml:space="preserve">, </w:t>
      </w:r>
      <w:r w:rsidRPr="00E52611">
        <w:t>certain members of Congress</w:t>
      </w:r>
      <w:r w:rsidR="00FE75FA" w:rsidRPr="00E52611">
        <w:t xml:space="preserve"> </w:t>
      </w:r>
      <w:r w:rsidR="00560C2F" w:rsidRPr="00E52611">
        <w:t>proposed</w:t>
      </w:r>
      <w:r w:rsidR="00FE75FA" w:rsidRPr="00E52611">
        <w:t xml:space="preserve"> </w:t>
      </w:r>
      <w:r w:rsidR="00507B35" w:rsidRPr="00E52611">
        <w:t>defunding the group</w:t>
      </w:r>
      <w:r w:rsidR="00FE75FA" w:rsidRPr="00E52611">
        <w:t xml:space="preserve">. </w:t>
      </w:r>
      <w:r w:rsidRPr="00E52611">
        <w:t xml:space="preserve">These </w:t>
      </w:r>
      <w:r w:rsidR="00536585" w:rsidRPr="00E52611">
        <w:t>representatives</w:t>
      </w:r>
      <w:r w:rsidR="00F31B85" w:rsidRPr="00E52611">
        <w:t xml:space="preserve"> </w:t>
      </w:r>
      <w:r w:rsidRPr="00E52611">
        <w:t xml:space="preserve">accused ACORN </w:t>
      </w:r>
      <w:r w:rsidR="008B36DA" w:rsidRPr="00E52611">
        <w:t xml:space="preserve">a number of serious </w:t>
      </w:r>
      <w:r w:rsidRPr="00E52611">
        <w:t xml:space="preserve">crimes on the floors of the House and Senate. </w:t>
      </w:r>
      <w:r w:rsidR="008B36DA" w:rsidRPr="00E52611">
        <w:t>Congressman Issa called ACORN’s activities “illegal schemes too unseemly to discuss in this [the House] chamber.”</w:t>
      </w:r>
      <w:r w:rsidR="008D4AE4" w:rsidRPr="00E52611">
        <w:t xml:space="preserve"> </w:t>
      </w:r>
      <w:r w:rsidR="00DF0559" w:rsidRPr="00E52611">
        <w:fldChar w:fldCharType="begin"/>
      </w:r>
      <w:r w:rsidR="00E52611" w:rsidRPr="00E52611">
        <w:instrText xml:space="preserve"> ADDIN BA \xc &lt;@leg&gt; \xl 48 \s QOQUYW000006 \l "</w:instrText>
      </w:r>
      <w:r w:rsidR="00E52611" w:rsidRPr="00E52611">
        <w:rPr>
          <w:rFonts w:cs="NewCenturySchlbk-Bold"/>
          <w:bCs/>
        </w:rPr>
        <w:instrText>155. Cong. Rec. H9675 (daily ed. Sept. 17, 2009)</w:instrText>
      </w:r>
      <w:r w:rsidR="00E52611" w:rsidRPr="00E52611">
        <w:instrText xml:space="preserve">" </w:instrText>
      </w:r>
      <w:r w:rsidR="00DF0559" w:rsidRPr="00E52611">
        <w:fldChar w:fldCharType="end"/>
      </w:r>
      <w:bookmarkStart w:id="21" w:name="_BA_Cite_142"/>
      <w:r w:rsidR="008D4AE4" w:rsidRPr="00E52611">
        <w:rPr>
          <w:rFonts w:cs="NewCenturySchlbk-Bold"/>
          <w:bCs/>
        </w:rPr>
        <w:t>155.</w:t>
      </w:r>
      <w:r w:rsidR="00055C10" w:rsidRPr="00E52611">
        <w:rPr>
          <w:rFonts w:cs="NewCenturySchlbk-Bold"/>
          <w:bCs/>
        </w:rPr>
        <w:t xml:space="preserve"> </w:t>
      </w:r>
      <w:r w:rsidR="008D4AE4" w:rsidRPr="00E52611">
        <w:rPr>
          <w:rFonts w:cs="NewCenturySchlbk-Bold"/>
          <w:bCs/>
        </w:rPr>
        <w:t>Cong. Rec. H9675 (daily ed. Sept. 17, 2009)</w:t>
      </w:r>
      <w:bookmarkEnd w:id="21"/>
      <w:r w:rsidR="008D4AE4" w:rsidRPr="00E52611">
        <w:rPr>
          <w:rFonts w:cs="NewCenturySchlbk-Bold"/>
          <w:bCs/>
        </w:rPr>
        <w:t xml:space="preserve">. </w:t>
      </w:r>
      <w:r w:rsidR="00C1012C" w:rsidRPr="00E52611">
        <w:t xml:space="preserve">Congresswoman Bachmann blamed ACORN for </w:t>
      </w:r>
      <w:r w:rsidR="00BA3466" w:rsidRPr="00E52611">
        <w:t xml:space="preserve">“educating individuals that they should take their money and bury it in a tin can in the </w:t>
      </w:r>
      <w:r w:rsidR="00BA3466" w:rsidRPr="00E52611">
        <w:lastRenderedPageBreak/>
        <w:t>backyard rather than paying taxes.”</w:t>
      </w:r>
      <w:r w:rsidR="000C643D" w:rsidRPr="00E52611">
        <w:t xml:space="preserve"> </w:t>
      </w:r>
      <w:r w:rsidR="00DF0559" w:rsidRPr="00E52611">
        <w:fldChar w:fldCharType="begin"/>
      </w:r>
      <w:r w:rsidR="00E52611" w:rsidRPr="00E52611">
        <w:instrText xml:space="preserve"> ADDIN BA \xc &lt;@leg&gt; \xl 54 \s QOQUYW000007 \l "155 Cong. Rec. H9946 (daily ed. Sept. 24, 2009)" </w:instrText>
      </w:r>
      <w:r w:rsidR="00DF0559" w:rsidRPr="00E52611">
        <w:fldChar w:fldCharType="end"/>
      </w:r>
      <w:bookmarkStart w:id="22" w:name="_BA_Cite_143"/>
      <w:r w:rsidR="00A503E1" w:rsidRPr="00E52611">
        <w:t>155 Cong. Rec. H9946, H9952 (daily ed. Sept. 24, 2009)</w:t>
      </w:r>
      <w:bookmarkEnd w:id="22"/>
      <w:r w:rsidR="00A503E1" w:rsidRPr="00E52611">
        <w:t xml:space="preserve">. </w:t>
      </w:r>
      <w:r w:rsidR="009A7A70" w:rsidRPr="00E52611">
        <w:t xml:space="preserve">And </w:t>
      </w:r>
      <w:r w:rsidR="00B94886" w:rsidRPr="00E52611">
        <w:t xml:space="preserve">Congressman King </w:t>
      </w:r>
      <w:r w:rsidR="00055C10" w:rsidRPr="00E52611">
        <w:t>proclaimed</w:t>
      </w:r>
      <w:r w:rsidR="00363D7B" w:rsidRPr="00E52611">
        <w:t xml:space="preserve"> that he could not draw any distinction between an “ACORN shakedown, a Mafia shakedown, or a shakedown that might come from Hugo Chavez or some strongman in some other country.” </w:t>
      </w:r>
      <w:r w:rsidR="00DF0559" w:rsidRPr="00E52611">
        <w:fldChar w:fldCharType="begin"/>
      </w:r>
      <w:r w:rsidR="00E52611" w:rsidRPr="00E52611">
        <w:instrText xml:space="preserve"> ADDIN BA \xc &lt;@$id&gt; \xl 12 \s ID \xhfl Rep </w:instrText>
      </w:r>
      <w:r w:rsidR="00DF0559" w:rsidRPr="00E52611">
        <w:fldChar w:fldCharType="end"/>
      </w:r>
      <w:r w:rsidR="00774492" w:rsidRPr="00E52611">
        <w:rPr>
          <w:i/>
        </w:rPr>
        <w:t xml:space="preserve">Id. </w:t>
      </w:r>
      <w:r w:rsidR="00774492" w:rsidRPr="00E52611">
        <w:t>at H9950.</w:t>
      </w:r>
    </w:p>
    <w:p w:rsidR="009A7A70" w:rsidRPr="00E52611" w:rsidRDefault="009A7A70" w:rsidP="000529A4">
      <w:pPr>
        <w:spacing w:line="480" w:lineRule="auto"/>
      </w:pPr>
      <w:r w:rsidRPr="00E52611">
        <w:tab/>
        <w:t>Less than</w:t>
      </w:r>
      <w:r w:rsidR="00A03CC9" w:rsidRPr="00E52611">
        <w:t xml:space="preserve"> 0.0</w:t>
      </w:r>
      <w:r w:rsidRPr="00E52611">
        <w:t xml:space="preserve">01% of federal funding </w:t>
      </w:r>
      <w:r w:rsidR="00E90A90" w:rsidRPr="00E52611">
        <w:t xml:space="preserve">provided to </w:t>
      </w:r>
      <w:r w:rsidRPr="00E52611">
        <w:t>ACORN</w:t>
      </w:r>
      <w:r w:rsidR="00E90A90" w:rsidRPr="00E52611">
        <w:t xml:space="preserve"> and</w:t>
      </w:r>
      <w:r w:rsidRPr="00E52611">
        <w:t xml:space="preserve"> affiliates </w:t>
      </w:r>
      <w:r w:rsidR="00E90A90" w:rsidRPr="00E52611">
        <w:t xml:space="preserve">between 2005 and </w:t>
      </w:r>
      <w:r w:rsidRPr="00E52611">
        <w:t>2009 went to its voter registration programs.</w:t>
      </w:r>
      <w:r w:rsidRPr="00E52611">
        <w:rPr>
          <w:rStyle w:val="FootnoteReference"/>
        </w:rPr>
        <w:footnoteReference w:id="3"/>
      </w:r>
      <w:r w:rsidRPr="00E52611">
        <w:t xml:space="preserve"> </w:t>
      </w:r>
      <w:r w:rsidR="00E90A90" w:rsidRPr="00E52611">
        <w:rPr>
          <w:i/>
        </w:rPr>
        <w:t xml:space="preserve">See </w:t>
      </w:r>
      <w:r w:rsidRPr="00E52611">
        <w:t>GAO Report a</w:t>
      </w:r>
      <w:r w:rsidR="00E90A90" w:rsidRPr="00E52611">
        <w:t>t 8-13</w:t>
      </w:r>
      <w:r w:rsidRPr="00E52611">
        <w:t xml:space="preserve">. </w:t>
      </w:r>
      <w:r w:rsidR="0050342B" w:rsidRPr="00E52611">
        <w:t>Yet</w:t>
      </w:r>
      <w:r w:rsidRPr="00E52611">
        <w:t xml:space="preserve"> one of the most </w:t>
      </w:r>
      <w:r w:rsidR="001747B9" w:rsidRPr="00E52611">
        <w:t xml:space="preserve">common </w:t>
      </w:r>
      <w:r w:rsidRPr="00E52611">
        <w:t xml:space="preserve">accusations levied against </w:t>
      </w:r>
      <w:r w:rsidR="001747B9" w:rsidRPr="00E52611">
        <w:t>the group</w:t>
      </w:r>
      <w:r w:rsidRPr="00E52611">
        <w:t xml:space="preserve"> by members of Congress</w:t>
      </w:r>
      <w:r w:rsidR="00E97B0B" w:rsidRPr="00E52611">
        <w:t xml:space="preserve"> </w:t>
      </w:r>
      <w:r w:rsidR="001747B9" w:rsidRPr="00E52611">
        <w:t>regarded</w:t>
      </w:r>
      <w:r w:rsidR="0045557F" w:rsidRPr="00E52611">
        <w:t xml:space="preserve"> its alleged connection to voter</w:t>
      </w:r>
      <w:r w:rsidR="001747B9" w:rsidRPr="00E52611">
        <w:t xml:space="preserve"> registration fraud</w:t>
      </w:r>
      <w:r w:rsidRPr="00E52611">
        <w:t xml:space="preserve">. For example, Congressman King stated that Democrats and ACORN had made a “concerted effort to undermine the integrity of the ballot box,” and alleged that there were “400,000 fraudulent voter registrations turned in by ACORN.” </w:t>
      </w:r>
      <w:r w:rsidR="00DF0559" w:rsidRPr="00E52611">
        <w:fldChar w:fldCharType="begin"/>
      </w:r>
      <w:r w:rsidR="00E52611" w:rsidRPr="00E52611">
        <w:instrText xml:space="preserve"> ADDIN BA \xc &lt;@leg&gt; \xl 30 \s QOQUYW000008 \l "155 Cong. Rec." </w:instrText>
      </w:r>
      <w:r w:rsidR="00DF0559" w:rsidRPr="00E52611">
        <w:fldChar w:fldCharType="end"/>
      </w:r>
      <w:bookmarkStart w:id="23" w:name="_BA_Cite_144"/>
      <w:r w:rsidR="00A354CF" w:rsidRPr="00E52611">
        <w:t>155 Cong. Rec. at H9946, H9948</w:t>
      </w:r>
      <w:bookmarkEnd w:id="23"/>
      <w:r w:rsidR="002016F0" w:rsidRPr="00E52611">
        <w:t>.</w:t>
      </w:r>
    </w:p>
    <w:p w:rsidR="008B36DA" w:rsidRPr="00E52611" w:rsidRDefault="000A3080" w:rsidP="000529A4">
      <w:pPr>
        <w:spacing w:line="480" w:lineRule="auto"/>
        <w:rPr>
          <w:i/>
        </w:rPr>
      </w:pPr>
      <w:r w:rsidRPr="00E52611">
        <w:tab/>
        <w:t xml:space="preserve">Members of Congress also </w:t>
      </w:r>
      <w:r w:rsidR="006E1B14">
        <w:t>criticized</w:t>
      </w:r>
      <w:r w:rsidRPr="00E52611">
        <w:t xml:space="preserve"> ACORN</w:t>
      </w:r>
      <w:r w:rsidR="006E1B14">
        <w:t xml:space="preserve"> for</w:t>
      </w:r>
      <w:r w:rsidR="00E45D85" w:rsidRPr="00E52611">
        <w:t xml:space="preserve"> promoting a</w:t>
      </w:r>
      <w:r w:rsidRPr="00E52611">
        <w:t xml:space="preserve"> progressive </w:t>
      </w:r>
      <w:r w:rsidR="007861AB" w:rsidRPr="00E52611">
        <w:t xml:space="preserve">agenda and </w:t>
      </w:r>
      <w:r w:rsidR="00E45D85" w:rsidRPr="00E52611">
        <w:t>maintaining close ties to</w:t>
      </w:r>
      <w:r w:rsidR="007861AB" w:rsidRPr="00E52611">
        <w:t xml:space="preserve"> Democrat</w:t>
      </w:r>
      <w:r w:rsidR="000E1237" w:rsidRPr="00E52611">
        <w:t xml:space="preserve">ic candidates </w:t>
      </w:r>
      <w:r w:rsidR="009744D5" w:rsidRPr="00E52611">
        <w:t xml:space="preserve">and </w:t>
      </w:r>
      <w:r w:rsidR="002125B1" w:rsidRPr="00E52611">
        <w:t>President Obama</w:t>
      </w:r>
      <w:r w:rsidRPr="00E52611">
        <w:t xml:space="preserve">. </w:t>
      </w:r>
      <w:r w:rsidR="00DF4652" w:rsidRPr="00E52611">
        <w:t xml:space="preserve">For example, </w:t>
      </w:r>
      <w:r w:rsidR="00F96977" w:rsidRPr="00E52611">
        <w:t>Congresswoman Foxx called ACORN and affiliates “militant left-w</w:t>
      </w:r>
      <w:r w:rsidR="00F31B85" w:rsidRPr="00E52611">
        <w:t>ing community activist groups</w:t>
      </w:r>
      <w:r w:rsidR="00875016" w:rsidRPr="00E52611">
        <w:t>”</w:t>
      </w:r>
      <w:r w:rsidR="00F31B85" w:rsidRPr="00E52611">
        <w:t xml:space="preserve">; </w:t>
      </w:r>
      <w:r w:rsidR="00F96977" w:rsidRPr="00E52611">
        <w:t>“rad</w:t>
      </w:r>
      <w:r w:rsidR="00E374EC">
        <w:t>ical allies” of the Democratic P</w:t>
      </w:r>
      <w:r w:rsidR="00F96977" w:rsidRPr="00E52611">
        <w:t>arty who p</w:t>
      </w:r>
      <w:r w:rsidR="00875016" w:rsidRPr="00E52611">
        <w:t>rovide</w:t>
      </w:r>
      <w:r w:rsidR="00F96977" w:rsidRPr="00E52611">
        <w:t xml:space="preserve">d “illegal help in getting Democrats elected to office.” </w:t>
      </w:r>
      <w:r w:rsidR="00DF0559" w:rsidRPr="00E52611">
        <w:fldChar w:fldCharType="begin"/>
      </w:r>
      <w:r w:rsidR="00E52611" w:rsidRPr="00E52611">
        <w:instrText xml:space="preserve"> ADDIN BA \xc &lt;@leg&gt; \xl 56 \s QOQUYW000009 \l "154 Cong. Rec. H10281 (daily ed. Sept. 27, 2008)" </w:instrText>
      </w:r>
      <w:r w:rsidR="00DF0559" w:rsidRPr="00E52611">
        <w:fldChar w:fldCharType="end"/>
      </w:r>
      <w:bookmarkStart w:id="24" w:name="_BA_Cite_145"/>
      <w:r w:rsidR="00900A35" w:rsidRPr="00E52611">
        <w:t>154 Cong. Rec. H10281, H10282 (daily ed. Sept. 27, 2008)</w:t>
      </w:r>
      <w:bookmarkEnd w:id="24"/>
      <w:r w:rsidR="00900A35" w:rsidRPr="00E52611">
        <w:t xml:space="preserve"> </w:t>
      </w:r>
      <w:r w:rsidR="00F96977" w:rsidRPr="00E52611">
        <w:t xml:space="preserve">(internal quotations omitted). </w:t>
      </w:r>
    </w:p>
    <w:p w:rsidR="00094891" w:rsidRPr="00E52611" w:rsidRDefault="00916036" w:rsidP="000529A4">
      <w:pPr>
        <w:spacing w:line="480" w:lineRule="auto"/>
      </w:pPr>
      <w:r w:rsidRPr="00E52611">
        <w:lastRenderedPageBreak/>
        <w:tab/>
      </w:r>
      <w:r w:rsidR="00875016" w:rsidRPr="00E52611">
        <w:t>Other members</w:t>
      </w:r>
      <w:r w:rsidRPr="00E52611">
        <w:t xml:space="preserve"> of Congress </w:t>
      </w:r>
      <w:r w:rsidR="00DF090D" w:rsidRPr="00E52611">
        <w:t>disagreed with</w:t>
      </w:r>
      <w:r w:rsidR="007E784F" w:rsidRPr="00E52611">
        <w:t xml:space="preserve"> their colleagues’</w:t>
      </w:r>
      <w:r w:rsidR="00DF090D" w:rsidRPr="00E52611">
        <w:t xml:space="preserve"> treatment of</w:t>
      </w:r>
      <w:r w:rsidR="006B4CE8" w:rsidRPr="00E52611">
        <w:t xml:space="preserve"> ACORN</w:t>
      </w:r>
      <w:r w:rsidR="00190E73" w:rsidRPr="00E52611">
        <w:t>. For example, Senator Leahy characterized the efforts to defund ACORN as</w:t>
      </w:r>
      <w:r w:rsidRPr="00E52611">
        <w:t xml:space="preserve"> “score-at-any-price partisanship</w:t>
      </w:r>
      <w:r w:rsidR="00190E73" w:rsidRPr="00E52611">
        <w:t xml:space="preserve">.” </w:t>
      </w:r>
      <w:r w:rsidR="00DF0559" w:rsidRPr="00E52611">
        <w:fldChar w:fldCharType="begin"/>
      </w:r>
      <w:r w:rsidR="00E52611" w:rsidRPr="00E52611">
        <w:instrText xml:space="preserve"> ADDIN BA \xc &lt;@leg&gt; \xl 50 \s QOQUYW000010 \l "</w:instrText>
      </w:r>
      <w:r w:rsidR="00E52611" w:rsidRPr="00E52611">
        <w:rPr>
          <w:rFonts w:cs="TimesNewRoman"/>
        </w:rPr>
        <w:instrText>155 Cong. Rec. S9541–42 (daily ed. Sept. 17, 2009)</w:instrText>
      </w:r>
      <w:r w:rsidR="00E52611" w:rsidRPr="00E52611">
        <w:instrText xml:space="preserve">" </w:instrText>
      </w:r>
      <w:r w:rsidR="00DF0559" w:rsidRPr="00E52611">
        <w:fldChar w:fldCharType="end"/>
      </w:r>
      <w:bookmarkStart w:id="25" w:name="_BA_Cite_146"/>
      <w:r w:rsidRPr="00E52611">
        <w:rPr>
          <w:rFonts w:cs="TimesNewRoman"/>
        </w:rPr>
        <w:t>155 Cong. Rec. S9541–42 (daily ed. Sept. 17, 2009)</w:t>
      </w:r>
      <w:bookmarkEnd w:id="25"/>
      <w:r w:rsidRPr="00E52611">
        <w:rPr>
          <w:rFonts w:cs="TimesNewRoman"/>
        </w:rPr>
        <w:t>. Senator Durbin also protested the calls to defund ACORN, stating</w:t>
      </w:r>
      <w:r w:rsidR="00190E73" w:rsidRPr="00E52611">
        <w:rPr>
          <w:rFonts w:cs="TimesNewRoman"/>
        </w:rPr>
        <w:t xml:space="preserve"> that C</w:t>
      </w:r>
      <w:r w:rsidR="00FD35A8" w:rsidRPr="00E52611">
        <w:rPr>
          <w:rFonts w:cs="TimesNewRoman"/>
        </w:rPr>
        <w:t>ongr</w:t>
      </w:r>
      <w:r w:rsidR="00BD6F5F" w:rsidRPr="00E52611">
        <w:rPr>
          <w:rFonts w:cs="TimesNewRoman"/>
        </w:rPr>
        <w:t xml:space="preserve">ess’ </w:t>
      </w:r>
      <w:r w:rsidR="007E5F9C" w:rsidRPr="00E52611">
        <w:rPr>
          <w:rFonts w:cs="TimesNewRoman"/>
        </w:rPr>
        <w:t xml:space="preserve">actions </w:t>
      </w:r>
      <w:r w:rsidR="008B1672" w:rsidRPr="00E52611">
        <w:rPr>
          <w:rFonts w:cs="TimesNewRoman"/>
        </w:rPr>
        <w:t>were akin to</w:t>
      </w:r>
      <w:r w:rsidR="007E784F" w:rsidRPr="00E52611">
        <w:rPr>
          <w:rFonts w:cs="TimesNewRoman"/>
        </w:rPr>
        <w:t xml:space="preserve"> </w:t>
      </w:r>
      <w:r w:rsidR="00190E73" w:rsidRPr="00E52611">
        <w:rPr>
          <w:rFonts w:cs="TimesNewRoman"/>
        </w:rPr>
        <w:t xml:space="preserve">a “summary execution order” punishing “an entire organization because of the sins or crimes of a limited number of employees.” </w:t>
      </w:r>
      <w:r w:rsidR="00DF0559" w:rsidRPr="00E52611">
        <w:fldChar w:fldCharType="begin"/>
      </w:r>
      <w:r w:rsidR="00E52611" w:rsidRPr="00E52611">
        <w:instrText xml:space="preserve"> ADDIN BA \xc &lt;@leg&gt; \xl 53 \s QOQUYW000011 \l "</w:instrText>
      </w:r>
      <w:r w:rsidR="00E52611" w:rsidRPr="00E52611">
        <w:rPr>
          <w:rFonts w:cs="TimesNewRoman"/>
        </w:rPr>
        <w:instrText>155 Cong. Rec. S10181 (daily ed. Oct. 7, 2009)</w:instrText>
      </w:r>
      <w:r w:rsidR="00E52611" w:rsidRPr="00E52611">
        <w:instrText xml:space="preserve">" </w:instrText>
      </w:r>
      <w:r w:rsidR="00DF0559" w:rsidRPr="00E52611">
        <w:fldChar w:fldCharType="end"/>
      </w:r>
      <w:bookmarkStart w:id="26" w:name="_BA_Cite_147"/>
      <w:r w:rsidR="00094891" w:rsidRPr="00E52611">
        <w:rPr>
          <w:rFonts w:cs="TimesNewRoman"/>
        </w:rPr>
        <w:t>155 Cong. Rec. S10181, 10211 (daily ed. Oct. 7, 2009)</w:t>
      </w:r>
      <w:bookmarkEnd w:id="26"/>
      <w:r w:rsidR="00094891" w:rsidRPr="00E52611">
        <w:rPr>
          <w:rFonts w:cs="TimesNewRoman"/>
        </w:rPr>
        <w:t>.</w:t>
      </w:r>
    </w:p>
    <w:p w:rsidR="00090BCF" w:rsidRPr="00E52611" w:rsidRDefault="008978B7" w:rsidP="008D3A8A">
      <w:pPr>
        <w:autoSpaceDE w:val="0"/>
        <w:autoSpaceDN w:val="0"/>
        <w:adjustRightInd w:val="0"/>
        <w:spacing w:line="480" w:lineRule="auto"/>
        <w:ind w:firstLine="720"/>
      </w:pPr>
      <w:r w:rsidRPr="00E52611">
        <w:t xml:space="preserve">In Fall 2009, </w:t>
      </w:r>
      <w:r w:rsidR="007A5148" w:rsidRPr="00E52611">
        <w:t>Congress passed the firs</w:t>
      </w:r>
      <w:r w:rsidR="001C71D0" w:rsidRPr="00E52611">
        <w:t xml:space="preserve">t of five laws depriving ACORN </w:t>
      </w:r>
      <w:r w:rsidR="00875016" w:rsidRPr="00E52611">
        <w:t xml:space="preserve">of </w:t>
      </w:r>
      <w:r w:rsidR="007A5148" w:rsidRPr="00E52611">
        <w:t xml:space="preserve">federal funding. </w:t>
      </w:r>
      <w:r w:rsidR="00DF0559" w:rsidRPr="00E52611">
        <w:fldChar w:fldCharType="begin"/>
      </w:r>
      <w:r w:rsidR="00E52611" w:rsidRPr="00E52611">
        <w:instrText xml:space="preserve"> ADDIN BA \xc &lt;@rec&gt; \xl 9 \s QOQUYW000067 \xpl 1 \l "(R. at 6)" </w:instrText>
      </w:r>
      <w:r w:rsidR="00DF0559" w:rsidRPr="00E52611">
        <w:fldChar w:fldCharType="end"/>
      </w:r>
      <w:bookmarkStart w:id="27" w:name="_BA_Cite_148"/>
      <w:r w:rsidR="007A5148" w:rsidRPr="00E52611">
        <w:t>(R. at 6)</w:t>
      </w:r>
      <w:bookmarkEnd w:id="27"/>
      <w:r w:rsidR="007A5148" w:rsidRPr="00E52611">
        <w:t>. This was “the first time Congress had denied federal funding to a specifically named person or organiz</w:t>
      </w:r>
      <w:r w:rsidR="00CE7CCE" w:rsidRPr="00E52611">
        <w:t>ation in this way.” (</w:t>
      </w:r>
      <w:r w:rsidR="00DF0559" w:rsidRPr="00E52611">
        <w:fldChar w:fldCharType="begin"/>
      </w:r>
      <w:r w:rsidR="00E52611" w:rsidRPr="00E52611">
        <w:instrText xml:space="preserve"> ADDIN BA \xc &lt;@$id&gt; \xl 9 \s ID \xhfl Rep \xpl 1 </w:instrText>
      </w:r>
      <w:r w:rsidR="00DF0559" w:rsidRPr="00E52611">
        <w:fldChar w:fldCharType="end"/>
      </w:r>
      <w:r w:rsidR="00CE7CCE" w:rsidRPr="00E52611">
        <w:rPr>
          <w:i/>
        </w:rPr>
        <w:t>Id.</w:t>
      </w:r>
      <w:r w:rsidR="00637CB6" w:rsidRPr="00E52611">
        <w:t xml:space="preserve"> at </w:t>
      </w:r>
      <w:r w:rsidR="00382FF5" w:rsidRPr="00E52611">
        <w:t>36)</w:t>
      </w:r>
      <w:r w:rsidR="00637CB6" w:rsidRPr="00E52611">
        <w:t xml:space="preserve">. Congress defunded ACORN as part of </w:t>
      </w:r>
      <w:r w:rsidRPr="00E52611">
        <w:t xml:space="preserve">a </w:t>
      </w:r>
      <w:r w:rsidR="001005BA" w:rsidRPr="00E52611">
        <w:t xml:space="preserve">temporary, “stop gap” appropriations law, the </w:t>
      </w:r>
      <w:r w:rsidRPr="00E52611">
        <w:t xml:space="preserve">Continuing Appropriations Resolution. </w:t>
      </w:r>
      <w:r w:rsidR="001005BA" w:rsidRPr="00E52611">
        <w:t>(</w:t>
      </w:r>
      <w:r w:rsidR="00DF0559" w:rsidRPr="00E52611">
        <w:fldChar w:fldCharType="begin"/>
      </w:r>
      <w:r w:rsidR="00E52611" w:rsidRPr="00E52611">
        <w:instrText xml:space="preserve"> ADDIN BA \xc &lt;@$id&gt; \xl 8 \s ID \xhfl Rep \xpl 1 </w:instrText>
      </w:r>
      <w:r w:rsidR="00DF0559" w:rsidRPr="00E52611">
        <w:fldChar w:fldCharType="end"/>
      </w:r>
      <w:r w:rsidR="00373B0A" w:rsidRPr="00E52611">
        <w:rPr>
          <w:i/>
        </w:rPr>
        <w:t xml:space="preserve">Id. </w:t>
      </w:r>
      <w:r w:rsidR="00373B0A" w:rsidRPr="00E52611">
        <w:t>at</w:t>
      </w:r>
      <w:r w:rsidR="001005BA" w:rsidRPr="00E52611">
        <w:t xml:space="preserve"> 6). </w:t>
      </w:r>
      <w:r w:rsidR="00DF0559" w:rsidRPr="00E52611">
        <w:fldChar w:fldCharType="begin"/>
      </w:r>
      <w:r w:rsidR="00E52611" w:rsidRPr="00E52611">
        <w:instrText xml:space="preserve"> ADDIN BA \xc &lt;@osdv&gt; \xl 11 \s QOQUYW000068 \l "Section 163" </w:instrText>
      </w:r>
      <w:r w:rsidR="00DF0559" w:rsidRPr="00E52611">
        <w:fldChar w:fldCharType="end"/>
      </w:r>
      <w:bookmarkStart w:id="28" w:name="_BA_Cite_149"/>
      <w:r w:rsidRPr="00E52611">
        <w:t>Section 163</w:t>
      </w:r>
      <w:bookmarkEnd w:id="28"/>
      <w:r w:rsidRPr="00E52611">
        <w:t xml:space="preserve"> </w:t>
      </w:r>
      <w:r w:rsidR="008D3A8A" w:rsidRPr="00E52611">
        <w:t>mandated that no federal funds be provided to ACORN or any of its affiliates, subsidiaries, or allied organizations.</w:t>
      </w:r>
      <w:r w:rsidR="00093F45" w:rsidRPr="00E52611">
        <w:rPr>
          <w:rStyle w:val="FootnoteReference"/>
        </w:rPr>
        <w:footnoteReference w:id="4"/>
      </w:r>
      <w:r w:rsidR="008D3A8A" w:rsidRPr="00E52611">
        <w:t xml:space="preserve"> </w:t>
      </w:r>
      <w:r w:rsidR="00833527" w:rsidRPr="00E52611">
        <w:t>(</w:t>
      </w:r>
      <w:r w:rsidR="00DF0559" w:rsidRPr="00E52611">
        <w:fldChar w:fldCharType="begin"/>
      </w:r>
      <w:r w:rsidR="00E52611" w:rsidRPr="00E52611">
        <w:instrText xml:space="preserve"> ADDIN BA \xc &lt;@$id&gt; \xl 8 \s QOQUYW000067 \xhfl Rep \xpl 1 </w:instrText>
      </w:r>
      <w:r w:rsidR="00DF0559" w:rsidRPr="00E52611">
        <w:fldChar w:fldCharType="end"/>
      </w:r>
      <w:r w:rsidR="00833527" w:rsidRPr="00E52611">
        <w:rPr>
          <w:i/>
        </w:rPr>
        <w:t>Id.</w:t>
      </w:r>
      <w:r w:rsidR="00AC37C4" w:rsidRPr="00E52611">
        <w:t xml:space="preserve"> at 9</w:t>
      </w:r>
      <w:r w:rsidR="00D95C03" w:rsidRPr="00E52611">
        <w:t>). The Resolution was in effect between October 1, 2009 and December 18, 2009. (</w:t>
      </w:r>
      <w:r w:rsidR="00DF0559" w:rsidRPr="00E52611">
        <w:fldChar w:fldCharType="begin"/>
      </w:r>
      <w:r w:rsidR="00E52611" w:rsidRPr="00E52611">
        <w:instrText xml:space="preserve"> ADDIN BA \xc &lt;@$id&gt; \xl 8 \s ID \xhfl Rep \xpl 1 </w:instrText>
      </w:r>
      <w:r w:rsidR="00DF0559" w:rsidRPr="00E52611">
        <w:fldChar w:fldCharType="end"/>
      </w:r>
      <w:r w:rsidR="00833527" w:rsidRPr="00E52611">
        <w:rPr>
          <w:i/>
        </w:rPr>
        <w:t>Id.</w:t>
      </w:r>
      <w:r w:rsidR="00F55054" w:rsidRPr="00E52611">
        <w:rPr>
          <w:i/>
        </w:rPr>
        <w:t xml:space="preserve"> </w:t>
      </w:r>
      <w:r w:rsidR="00F55054" w:rsidRPr="00E52611">
        <w:t>at 6</w:t>
      </w:r>
      <w:r w:rsidR="00D95C03" w:rsidRPr="00E52611">
        <w:t>).</w:t>
      </w:r>
    </w:p>
    <w:p w:rsidR="008461FD" w:rsidRPr="00E52611" w:rsidRDefault="00F03CF3" w:rsidP="00FD581A">
      <w:pPr>
        <w:autoSpaceDE w:val="0"/>
        <w:autoSpaceDN w:val="0"/>
        <w:adjustRightInd w:val="0"/>
        <w:spacing w:line="480" w:lineRule="auto"/>
        <w:ind w:firstLine="720"/>
      </w:pPr>
      <w:r w:rsidRPr="00E52611">
        <w:t xml:space="preserve">ACORN and </w:t>
      </w:r>
      <w:r w:rsidR="008D3A8A" w:rsidRPr="00E52611">
        <w:t xml:space="preserve">its </w:t>
      </w:r>
      <w:r w:rsidR="008461FD" w:rsidRPr="00E52611">
        <w:t>affiliates filed suit</w:t>
      </w:r>
      <w:r w:rsidR="003F0780" w:rsidRPr="00E52611">
        <w:t xml:space="preserve"> in November 2009,</w:t>
      </w:r>
      <w:r w:rsidR="008461FD" w:rsidRPr="00E52611">
        <w:t xml:space="preserve"> </w:t>
      </w:r>
      <w:r w:rsidR="003F0780" w:rsidRPr="00E52611">
        <w:t xml:space="preserve">challenging </w:t>
      </w:r>
      <w:r w:rsidR="00DF0559" w:rsidRPr="00E52611">
        <w:fldChar w:fldCharType="begin"/>
      </w:r>
      <w:r w:rsidR="00E52611" w:rsidRPr="00E52611">
        <w:instrText xml:space="preserve"> ADDIN BA \xc &lt;@$osdv&gt; \xl 11 \s QOQUYW000068 </w:instrText>
      </w:r>
      <w:r w:rsidR="00DF0559" w:rsidRPr="00E52611">
        <w:fldChar w:fldCharType="end"/>
      </w:r>
      <w:r w:rsidR="003F0780" w:rsidRPr="00E52611">
        <w:t>Section 163 as a</w:t>
      </w:r>
      <w:r w:rsidR="00B60749" w:rsidRPr="00E52611">
        <w:t xml:space="preserve"> bill of attainder</w:t>
      </w:r>
      <w:r w:rsidR="008461FD" w:rsidRPr="00E52611">
        <w:t xml:space="preserve">. </w:t>
      </w:r>
      <w:r w:rsidR="00DF0559" w:rsidRPr="00E52611">
        <w:fldChar w:fldCharType="begin"/>
      </w:r>
      <w:r w:rsidR="00E52611" w:rsidRPr="00E52611">
        <w:instrText xml:space="preserve"> ADDIN BA \xc &lt;@rec&gt; \xl 9 \s QOQUYW000069 \xpl 1 \l "(R. at 7)" </w:instrText>
      </w:r>
      <w:r w:rsidR="00DF0559" w:rsidRPr="00E52611">
        <w:fldChar w:fldCharType="end"/>
      </w:r>
      <w:bookmarkStart w:id="29" w:name="_BA_Cite_150"/>
      <w:r w:rsidR="008461FD" w:rsidRPr="00E52611">
        <w:t>(R. at 7)</w:t>
      </w:r>
      <w:bookmarkEnd w:id="29"/>
      <w:r w:rsidRPr="00E52611">
        <w:t>. They</w:t>
      </w:r>
      <w:r w:rsidR="008461FD" w:rsidRPr="00E52611">
        <w:t xml:space="preserve"> requested that the district court enjoin the </w:t>
      </w:r>
      <w:r w:rsidR="00432B27" w:rsidRPr="00E52611">
        <w:t>relevant government officials from enforcing the law</w:t>
      </w:r>
      <w:r w:rsidR="00B60749" w:rsidRPr="00E52611">
        <w:t>. (</w:t>
      </w:r>
      <w:r w:rsidR="00DF0559" w:rsidRPr="00E52611">
        <w:fldChar w:fldCharType="begin"/>
      </w:r>
      <w:r w:rsidR="00E52611" w:rsidRPr="00E52611">
        <w:instrText xml:space="preserve"> ADDIN BA \xc &lt;@$id&gt; \xl 3 \s ID \xpl 1 </w:instrText>
      </w:r>
      <w:r w:rsidR="00DF0559" w:rsidRPr="00E52611">
        <w:fldChar w:fldCharType="end"/>
      </w:r>
      <w:r w:rsidR="00B60749" w:rsidRPr="00E52611">
        <w:rPr>
          <w:i/>
        </w:rPr>
        <w:t>Id.</w:t>
      </w:r>
      <w:r w:rsidR="00B60749" w:rsidRPr="00E52611">
        <w:t>). On December 11, 2009, the district cour</w:t>
      </w:r>
      <w:r w:rsidR="003F6C8E" w:rsidRPr="00E52611">
        <w:t>t granted ACORN’s request for a preliminary</w:t>
      </w:r>
      <w:r w:rsidR="00B60749" w:rsidRPr="00E52611">
        <w:t xml:space="preserve"> injunction, concluding that there was a likelihood of success on the bill of attainder claim. (</w:t>
      </w:r>
      <w:r w:rsidR="00DF0559" w:rsidRPr="00E52611">
        <w:fldChar w:fldCharType="begin"/>
      </w:r>
      <w:r w:rsidR="00E52611" w:rsidRPr="00E52611">
        <w:instrText xml:space="preserve"> ADDIN BA \xc &lt;@$id&gt; \xl 3 \s ID \xpl 1 </w:instrText>
      </w:r>
      <w:r w:rsidR="00DF0559" w:rsidRPr="00E52611">
        <w:fldChar w:fldCharType="end"/>
      </w:r>
      <w:r w:rsidR="00B60749" w:rsidRPr="00E52611">
        <w:rPr>
          <w:i/>
        </w:rPr>
        <w:t>Id</w:t>
      </w:r>
      <w:r w:rsidR="00B60749" w:rsidRPr="00E52611">
        <w:t>.).</w:t>
      </w:r>
    </w:p>
    <w:p w:rsidR="00181240" w:rsidRPr="00E52611" w:rsidRDefault="00AD6E43" w:rsidP="00FD581A">
      <w:pPr>
        <w:autoSpaceDE w:val="0"/>
        <w:autoSpaceDN w:val="0"/>
        <w:adjustRightInd w:val="0"/>
        <w:spacing w:line="480" w:lineRule="auto"/>
        <w:ind w:firstLine="720"/>
      </w:pPr>
      <w:r w:rsidRPr="00E52611">
        <w:lastRenderedPageBreak/>
        <w:t xml:space="preserve">During the pendency of the district court litigation, </w:t>
      </w:r>
      <w:r w:rsidR="00181240" w:rsidRPr="00E52611">
        <w:t xml:space="preserve">“Congress passed appropriations laws for fiscal year 2010, which President Obama signed into law.” </w:t>
      </w:r>
      <w:r w:rsidR="00DF0559" w:rsidRPr="00E52611">
        <w:fldChar w:fldCharType="begin"/>
      </w:r>
      <w:r w:rsidR="00E52611" w:rsidRPr="00E52611">
        <w:instrText xml:space="preserve"> ADDIN BA \xc &lt;@$rec&gt; \xl 9 \s QOQUYW000069 \xpl 1 </w:instrText>
      </w:r>
      <w:r w:rsidR="00DF0559" w:rsidRPr="00E52611">
        <w:fldChar w:fldCharType="end"/>
      </w:r>
      <w:bookmarkStart w:id="30" w:name="_BA_Cite_151"/>
      <w:r w:rsidR="00181240" w:rsidRPr="00E52611">
        <w:t>(R. at 7)</w:t>
      </w:r>
      <w:bookmarkEnd w:id="30"/>
      <w:r w:rsidR="00181240" w:rsidRPr="00E52611">
        <w:t xml:space="preserve">. </w:t>
      </w:r>
      <w:r w:rsidR="00DF0559" w:rsidRPr="00E52611">
        <w:fldChar w:fldCharType="begin"/>
      </w:r>
      <w:r w:rsidR="00E52611" w:rsidRPr="00E52611">
        <w:instrText xml:space="preserve"> ADDIN BA \xc &lt;@osdv&gt; \xl 11 \s QOQUYW000070 \l "One section" </w:instrText>
      </w:r>
      <w:r w:rsidR="00DF0559" w:rsidRPr="00E52611">
        <w:fldChar w:fldCharType="end"/>
      </w:r>
      <w:bookmarkStart w:id="31" w:name="_BA_Cite_152"/>
      <w:r w:rsidR="00181240" w:rsidRPr="00E52611">
        <w:t>One section</w:t>
      </w:r>
      <w:bookmarkEnd w:id="31"/>
      <w:r w:rsidR="00181240" w:rsidRPr="00E52611">
        <w:t xml:space="preserve"> of the provisions included language </w:t>
      </w:r>
      <w:r w:rsidR="00C917CE" w:rsidRPr="00E52611">
        <w:t xml:space="preserve">identical </w:t>
      </w:r>
      <w:r w:rsidR="00181240" w:rsidRPr="00E52611">
        <w:t xml:space="preserve">to </w:t>
      </w:r>
      <w:r w:rsidR="00DF0559" w:rsidRPr="00E52611">
        <w:fldChar w:fldCharType="begin"/>
      </w:r>
      <w:r w:rsidR="00E52611" w:rsidRPr="00E52611">
        <w:instrText xml:space="preserve"> ADDIN BA \xc &lt;@$osdv&gt; \xl 11 \s QOQUYW000068 </w:instrText>
      </w:r>
      <w:r w:rsidR="00DF0559" w:rsidRPr="00E52611">
        <w:fldChar w:fldCharType="end"/>
      </w:r>
      <w:bookmarkStart w:id="32" w:name="_BA_Cite_153"/>
      <w:r w:rsidR="00181240" w:rsidRPr="00E52611">
        <w:t>Section 163</w:t>
      </w:r>
      <w:bookmarkEnd w:id="32"/>
      <w:r w:rsidR="00181240" w:rsidRPr="00E52611">
        <w:t>. (</w:t>
      </w:r>
      <w:r w:rsidR="00DF0559" w:rsidRPr="00E52611">
        <w:fldChar w:fldCharType="begin"/>
      </w:r>
      <w:r w:rsidR="00E52611" w:rsidRPr="00E52611">
        <w:instrText xml:space="preserve"> ADDIN BA \xc &lt;@$id&gt; \xl 3 \s ID \xpl 1 </w:instrText>
      </w:r>
      <w:r w:rsidR="00DF0559" w:rsidRPr="00E52611">
        <w:fldChar w:fldCharType="end"/>
      </w:r>
      <w:r w:rsidR="00181240" w:rsidRPr="00E52611">
        <w:rPr>
          <w:i/>
        </w:rPr>
        <w:t>Id.</w:t>
      </w:r>
      <w:r w:rsidR="008D58EC" w:rsidRPr="00E52611">
        <w:t xml:space="preserve">). Another </w:t>
      </w:r>
      <w:r w:rsidR="00181240" w:rsidRPr="00E52611">
        <w:t xml:space="preserve">four sections </w:t>
      </w:r>
      <w:r w:rsidR="008D58EC" w:rsidRPr="00E52611">
        <w:t xml:space="preserve">“similarly </w:t>
      </w:r>
      <w:r w:rsidR="00181240" w:rsidRPr="00E52611">
        <w:t>excluded ACORN and its ‘subsidiaries’</w:t>
      </w:r>
      <w:r w:rsidR="003A4F7E" w:rsidRPr="00E52611">
        <w:t xml:space="preserve"> from federal funding.</w:t>
      </w:r>
      <w:r w:rsidR="008D58EC" w:rsidRPr="00E52611">
        <w:t>”</w:t>
      </w:r>
      <w:r w:rsidR="003A4F7E" w:rsidRPr="00E52611">
        <w:t xml:space="preserve"> </w:t>
      </w:r>
      <w:r w:rsidR="00181240" w:rsidRPr="00E52611">
        <w:t>(</w:t>
      </w:r>
      <w:r w:rsidR="00DF0559" w:rsidRPr="00E52611">
        <w:fldChar w:fldCharType="begin"/>
      </w:r>
      <w:r w:rsidR="00E52611" w:rsidRPr="00E52611">
        <w:instrText xml:space="preserve"> ADDIN BA \xc &lt;@$id&gt; \xl 3 \s ID \xpl 1 </w:instrText>
      </w:r>
      <w:r w:rsidR="00DF0559" w:rsidRPr="00E52611">
        <w:fldChar w:fldCharType="end"/>
      </w:r>
      <w:r w:rsidR="00181240" w:rsidRPr="00E52611">
        <w:rPr>
          <w:i/>
        </w:rPr>
        <w:t>Id</w:t>
      </w:r>
      <w:r w:rsidR="005C6183" w:rsidRPr="00E52611">
        <w:rPr>
          <w:i/>
        </w:rPr>
        <w:t>.</w:t>
      </w:r>
      <w:r w:rsidR="001C174F" w:rsidRPr="00E52611">
        <w:t>)</w:t>
      </w:r>
      <w:r w:rsidR="005C6183" w:rsidRPr="00E52611">
        <w:t>.</w:t>
      </w:r>
      <w:r w:rsidR="00181240" w:rsidRPr="00E52611">
        <w:t xml:space="preserve"> </w:t>
      </w:r>
      <w:r w:rsidR="00336B74" w:rsidRPr="00E52611">
        <w:t xml:space="preserve">Additionally, </w:t>
      </w:r>
      <w:r w:rsidR="00DF0559" w:rsidRPr="00E52611">
        <w:fldChar w:fldCharType="begin"/>
      </w:r>
      <w:r w:rsidR="00E52611" w:rsidRPr="00E52611">
        <w:instrText xml:space="preserve"> ADDIN BA \xc &lt;@osdv&gt; \xl 11 \s QOQUYW000071 \l "Section 535" </w:instrText>
      </w:r>
      <w:r w:rsidR="00DF0559" w:rsidRPr="00E52611">
        <w:fldChar w:fldCharType="end"/>
      </w:r>
      <w:bookmarkStart w:id="33" w:name="_BA_Cite_154"/>
      <w:r w:rsidR="00336B74" w:rsidRPr="00E52611">
        <w:t>Section 535</w:t>
      </w:r>
      <w:bookmarkEnd w:id="33"/>
      <w:r w:rsidR="00BE31E3" w:rsidRPr="00E52611">
        <w:t xml:space="preserve"> </w:t>
      </w:r>
      <w:r w:rsidR="006C429B" w:rsidRPr="00E52611">
        <w:t>directed</w:t>
      </w:r>
      <w:r w:rsidR="00BE31E3" w:rsidRPr="00E52611">
        <w:t xml:space="preserve"> </w:t>
      </w:r>
      <w:r w:rsidR="005A5203" w:rsidRPr="00E52611">
        <w:t>“</w:t>
      </w:r>
      <w:r w:rsidR="00BE31E3" w:rsidRPr="00E52611">
        <w:t>the GAO to</w:t>
      </w:r>
      <w:r w:rsidR="00A003FB" w:rsidRPr="00E52611">
        <w:t xml:space="preserve"> conduct a review and audit of f</w:t>
      </w:r>
      <w:r w:rsidR="00BE31E3" w:rsidRPr="00E52611">
        <w:t>ed</w:t>
      </w:r>
      <w:r w:rsidR="0067618F" w:rsidRPr="00E52611">
        <w:t xml:space="preserve">eral funds received by ACORN” or </w:t>
      </w:r>
      <w:r w:rsidR="004013F9" w:rsidRPr="00E52611">
        <w:t>ACORN affiliates</w:t>
      </w:r>
      <w:r w:rsidR="0067618F" w:rsidRPr="00E52611">
        <w:t xml:space="preserve"> </w:t>
      </w:r>
      <w:r w:rsidR="00BE31E3" w:rsidRPr="00E52611">
        <w:t xml:space="preserve">to determine </w:t>
      </w:r>
      <w:r w:rsidR="009F6F21" w:rsidRPr="00E52611">
        <w:t xml:space="preserve">whether and to what extent the nonprofits misused federal funds. </w:t>
      </w:r>
      <w:r w:rsidR="00BE31E3" w:rsidRPr="00E52611">
        <w:t>(</w:t>
      </w:r>
      <w:r w:rsidR="00DF0559" w:rsidRPr="00E52611">
        <w:fldChar w:fldCharType="begin"/>
      </w:r>
      <w:r w:rsidR="00E52611" w:rsidRPr="00E52611">
        <w:instrText xml:space="preserve"> ADDIN BA \xc &lt;@$id&gt; \xl 8 \s ID \xhfl Rep \xpl 1 </w:instrText>
      </w:r>
      <w:r w:rsidR="00DF0559" w:rsidRPr="00E52611">
        <w:fldChar w:fldCharType="end"/>
      </w:r>
      <w:r w:rsidR="00BE31E3" w:rsidRPr="00E52611">
        <w:rPr>
          <w:i/>
        </w:rPr>
        <w:t>Id.</w:t>
      </w:r>
      <w:r w:rsidR="00F8514B" w:rsidRPr="00E52611">
        <w:rPr>
          <w:i/>
        </w:rPr>
        <w:t xml:space="preserve"> </w:t>
      </w:r>
      <w:r w:rsidR="00F8514B" w:rsidRPr="00E52611">
        <w:t>at 8</w:t>
      </w:r>
      <w:r w:rsidR="00BE31E3" w:rsidRPr="00E52611">
        <w:t>).</w:t>
      </w:r>
    </w:p>
    <w:p w:rsidR="00F8514B" w:rsidRPr="00E52611" w:rsidRDefault="001C6C28" w:rsidP="00FD581A">
      <w:pPr>
        <w:autoSpaceDE w:val="0"/>
        <w:autoSpaceDN w:val="0"/>
        <w:adjustRightInd w:val="0"/>
        <w:spacing w:line="480" w:lineRule="auto"/>
        <w:ind w:firstLine="720"/>
      </w:pPr>
      <w:r w:rsidRPr="00E52611">
        <w:t>ACORN then filed an amended</w:t>
      </w:r>
      <w:r w:rsidR="00F8514B" w:rsidRPr="00E52611">
        <w:t xml:space="preserve"> complaint challenging the appropriations law</w:t>
      </w:r>
      <w:r w:rsidR="007F5F6F" w:rsidRPr="00E52611">
        <w:t>s</w:t>
      </w:r>
      <w:r w:rsidR="00F8514B" w:rsidRPr="00E52611">
        <w:t xml:space="preserve"> </w:t>
      </w:r>
      <w:r w:rsidR="009C7B05" w:rsidRPr="00E52611">
        <w:t xml:space="preserve">and </w:t>
      </w:r>
      <w:r w:rsidR="00AA2F99" w:rsidRPr="00E52611">
        <w:t xml:space="preserve">the </w:t>
      </w:r>
      <w:r w:rsidR="009C7B05" w:rsidRPr="00E52611">
        <w:t xml:space="preserve">then-expired </w:t>
      </w:r>
      <w:r w:rsidR="00DF0559" w:rsidRPr="00E52611">
        <w:fldChar w:fldCharType="begin"/>
      </w:r>
      <w:r w:rsidR="00E52611" w:rsidRPr="00E52611">
        <w:instrText xml:space="preserve"> ADDIN BA \xc &lt;@$osdv&gt; \xl 11 \s QOQUYW000068 </w:instrText>
      </w:r>
      <w:r w:rsidR="00DF0559" w:rsidRPr="00E52611">
        <w:fldChar w:fldCharType="end"/>
      </w:r>
      <w:r w:rsidR="009C7B05" w:rsidRPr="00E52611">
        <w:t>Section 163</w:t>
      </w:r>
      <w:r w:rsidR="00D40A28" w:rsidRPr="00E52611">
        <w:t xml:space="preserve"> (collectively referred to as “appropriations l</w:t>
      </w:r>
      <w:r w:rsidR="009C7B05" w:rsidRPr="00E52611">
        <w:t>aws”</w:t>
      </w:r>
      <w:r w:rsidR="00D40A28" w:rsidRPr="00E52611">
        <w:t xml:space="preserve"> or “l</w:t>
      </w:r>
      <w:r w:rsidR="002429F2" w:rsidRPr="00E52611">
        <w:t>aws”</w:t>
      </w:r>
      <w:r w:rsidR="009C7B05" w:rsidRPr="00E52611">
        <w:t xml:space="preserve">). </w:t>
      </w:r>
      <w:r w:rsidR="00DF0559" w:rsidRPr="00E52611">
        <w:fldChar w:fldCharType="begin"/>
      </w:r>
      <w:r w:rsidR="00E52611" w:rsidRPr="00E52611">
        <w:instrText xml:space="preserve"> ADDIN BA \xc &lt;@rec&gt; \xl 9 \s QOQUYW000072 \xpl 1 \l "(R. at 8)" </w:instrText>
      </w:r>
      <w:r w:rsidR="00DF0559" w:rsidRPr="00E52611">
        <w:fldChar w:fldCharType="end"/>
      </w:r>
      <w:bookmarkStart w:id="34" w:name="_BA_Cite_155"/>
      <w:r w:rsidR="00F8514B" w:rsidRPr="00E52611">
        <w:t>(</w:t>
      </w:r>
      <w:r w:rsidR="002429F2" w:rsidRPr="00E52611">
        <w:t>R. at 8)</w:t>
      </w:r>
      <w:bookmarkEnd w:id="34"/>
      <w:r w:rsidR="002429F2" w:rsidRPr="00E52611">
        <w:t>. On March 10, 2010, th</w:t>
      </w:r>
      <w:r w:rsidR="001871E4" w:rsidRPr="00E52611">
        <w:t>e district court held that the appropriations laws</w:t>
      </w:r>
      <w:r w:rsidR="00531D65" w:rsidRPr="00E52611">
        <w:t xml:space="preserve"> were unconstitutional</w:t>
      </w:r>
      <w:r w:rsidR="002429F2" w:rsidRPr="00E52611">
        <w:t xml:space="preserve"> bills of attainder, and granted ACORN’s request for a permanent injunction. (</w:t>
      </w:r>
      <w:r w:rsidR="00DF0559" w:rsidRPr="00E52611">
        <w:fldChar w:fldCharType="begin"/>
      </w:r>
      <w:r w:rsidR="00E52611" w:rsidRPr="00E52611">
        <w:instrText xml:space="preserve"> ADDIN BA \xc &lt;@$id&gt; \xl 3 \s ID \xpl 1 </w:instrText>
      </w:r>
      <w:r w:rsidR="00DF0559" w:rsidRPr="00E52611">
        <w:fldChar w:fldCharType="end"/>
      </w:r>
      <w:r w:rsidR="002429F2" w:rsidRPr="00E52611">
        <w:rPr>
          <w:i/>
        </w:rPr>
        <w:t>Id.</w:t>
      </w:r>
      <w:r w:rsidR="002429F2" w:rsidRPr="00E52611">
        <w:t xml:space="preserve">) </w:t>
      </w:r>
    </w:p>
    <w:p w:rsidR="00E21D52" w:rsidRPr="00E52611" w:rsidRDefault="002429F2" w:rsidP="00FD581A">
      <w:pPr>
        <w:autoSpaceDE w:val="0"/>
        <w:autoSpaceDN w:val="0"/>
        <w:adjustRightInd w:val="0"/>
        <w:spacing w:line="480" w:lineRule="auto"/>
      </w:pPr>
      <w:r w:rsidRPr="00E52611">
        <w:tab/>
        <w:t>The government ap</w:t>
      </w:r>
      <w:r w:rsidR="00C917CE" w:rsidRPr="00E52611">
        <w:t>pealed, and the Second C</w:t>
      </w:r>
      <w:r w:rsidR="005F6A9A" w:rsidRPr="00E52611">
        <w:t xml:space="preserve">ircuit </w:t>
      </w:r>
      <w:r w:rsidRPr="00E52611">
        <w:t xml:space="preserve">reversed the district court’s determination. </w:t>
      </w:r>
      <w:r w:rsidR="00DF0559" w:rsidRPr="00E52611">
        <w:fldChar w:fldCharType="begin"/>
      </w:r>
      <w:r w:rsidR="00E52611" w:rsidRPr="00E52611">
        <w:instrText xml:space="preserve"> ADDIN BA \xc &lt;@oppt&gt; \xl 12 \s QOQUYW000073 \l "618 F.3d 125" </w:instrText>
      </w:r>
      <w:r w:rsidR="00DF0559" w:rsidRPr="00E52611">
        <w:fldChar w:fldCharType="end"/>
      </w:r>
      <w:bookmarkStart w:id="35" w:name="_BA_Cite_156"/>
      <w:r w:rsidR="00266820" w:rsidRPr="00E52611">
        <w:t>618 F.3d 125</w:t>
      </w:r>
      <w:bookmarkEnd w:id="35"/>
      <w:r w:rsidR="00266820" w:rsidRPr="00E52611">
        <w:t xml:space="preserve">. </w:t>
      </w:r>
      <w:r w:rsidR="00AA50E6" w:rsidRPr="00E52611">
        <w:t>ACORN n</w:t>
      </w:r>
      <w:r w:rsidR="00087079" w:rsidRPr="00E52611">
        <w:t>ow appeals</w:t>
      </w:r>
      <w:r w:rsidR="00266820" w:rsidRPr="00E52611">
        <w:t xml:space="preserve"> that judgment and requests that this Court reinstate the permanent injunction. </w:t>
      </w:r>
    </w:p>
    <w:p w:rsidR="005B41EA" w:rsidRPr="00E52611" w:rsidRDefault="00916ACC" w:rsidP="00FD581A">
      <w:pPr>
        <w:autoSpaceDE w:val="0"/>
        <w:autoSpaceDN w:val="0"/>
        <w:adjustRightInd w:val="0"/>
        <w:spacing w:line="480" w:lineRule="auto"/>
        <w:rPr>
          <w:b/>
          <w:u w:val="single"/>
        </w:rPr>
      </w:pPr>
      <w:r w:rsidRPr="00E52611">
        <w:rPr>
          <w:b/>
          <w:u w:val="single"/>
        </w:rPr>
        <w:t>Aftermath</w:t>
      </w:r>
      <w:r w:rsidR="007F5F6F" w:rsidRPr="00E52611">
        <w:rPr>
          <w:b/>
          <w:u w:val="single"/>
        </w:rPr>
        <w:t xml:space="preserve"> of the Appropriations Laws</w:t>
      </w:r>
    </w:p>
    <w:p w:rsidR="005B41EA" w:rsidRPr="00E52611" w:rsidRDefault="00BE25A5" w:rsidP="00FD581A">
      <w:pPr>
        <w:autoSpaceDE w:val="0"/>
        <w:autoSpaceDN w:val="0"/>
        <w:adjustRightInd w:val="0"/>
        <w:spacing w:line="480" w:lineRule="auto"/>
        <w:ind w:firstLine="720"/>
      </w:pPr>
      <w:r w:rsidRPr="00E52611">
        <w:t xml:space="preserve">On the brink of bankruptcy, </w:t>
      </w:r>
      <w:r w:rsidR="00936263" w:rsidRPr="00E52611">
        <w:t xml:space="preserve">ACORN dissolved in late March 2010. </w:t>
      </w:r>
      <w:r w:rsidR="006B28EC" w:rsidRPr="00E52611">
        <w:t xml:space="preserve">STAFF H. COMM. ON GOV. REFORM, 112TH CONG., ACORN POLITICAL MACHINE TRIES TO REINVENT ITSELF 1 (Apr. 1, 2010). </w:t>
      </w:r>
      <w:r w:rsidR="005364ED" w:rsidRPr="00E52611">
        <w:t>Though certain ACORN-affiliates changed their names and remained in operation, ACORN ceased to exist</w:t>
      </w:r>
      <w:r w:rsidR="009B0A65" w:rsidRPr="00E52611">
        <w:t xml:space="preserve">. </w:t>
      </w:r>
      <w:r w:rsidR="00DF0559" w:rsidRPr="00E52611">
        <w:fldChar w:fldCharType="begin"/>
      </w:r>
      <w:r w:rsidR="00E52611" w:rsidRPr="00E52611">
        <w:instrText xml:space="preserve"> ADDIN BA \xc &lt;@$id&gt; \xl 10 \s ID \xhfl Rep </w:instrText>
      </w:r>
      <w:r w:rsidR="00DF0559" w:rsidRPr="00E52611">
        <w:fldChar w:fldCharType="end"/>
      </w:r>
      <w:r w:rsidR="00672809" w:rsidRPr="00E52611">
        <w:rPr>
          <w:i/>
        </w:rPr>
        <w:t xml:space="preserve">Id. </w:t>
      </w:r>
      <w:r w:rsidR="00672809" w:rsidRPr="00E52611">
        <w:t>at 1-2.</w:t>
      </w:r>
      <w:r w:rsidR="00AF7BE5" w:rsidRPr="00E52611">
        <w:t xml:space="preserve"> </w:t>
      </w:r>
    </w:p>
    <w:p w:rsidR="00F159E6" w:rsidRPr="00E52611" w:rsidRDefault="005B41EA" w:rsidP="00CA40F8">
      <w:pPr>
        <w:widowControl w:val="0"/>
        <w:autoSpaceDE w:val="0"/>
        <w:autoSpaceDN w:val="0"/>
        <w:adjustRightInd w:val="0"/>
        <w:spacing w:line="480" w:lineRule="auto"/>
        <w:rPr>
          <w:bCs/>
        </w:rPr>
      </w:pPr>
      <w:r w:rsidRPr="00E52611">
        <w:lastRenderedPageBreak/>
        <w:tab/>
        <w:t>At the same time, independent reports regarding the widespread allegations of voter</w:t>
      </w:r>
      <w:r w:rsidR="00F1729C" w:rsidRPr="00E52611">
        <w:t xml:space="preserve"> registration</w:t>
      </w:r>
      <w:r w:rsidRPr="00E52611">
        <w:t xml:space="preserve"> fraud </w:t>
      </w:r>
      <w:r w:rsidR="00052223" w:rsidRPr="00E52611">
        <w:t>and misuse of</w:t>
      </w:r>
      <w:r w:rsidR="00A101A4" w:rsidRPr="00E52611">
        <w:t xml:space="preserve"> federal funds </w:t>
      </w:r>
      <w:r w:rsidR="00B371AC" w:rsidRPr="00E52611">
        <w:t>largely exonerated ACORN</w:t>
      </w:r>
      <w:r w:rsidR="002634BC" w:rsidRPr="00E52611">
        <w:t xml:space="preserve">. </w:t>
      </w:r>
      <w:r w:rsidR="00F97A4E" w:rsidRPr="00E52611">
        <w:t xml:space="preserve">The GAO report commissioned by Congress </w:t>
      </w:r>
      <w:r w:rsidR="00820C88" w:rsidRPr="00E52611">
        <w:t xml:space="preserve">found no </w:t>
      </w:r>
      <w:r w:rsidR="00897D13" w:rsidRPr="00E52611">
        <w:t>mismanagement of federal grant money</w:t>
      </w:r>
      <w:r w:rsidR="00820C88" w:rsidRPr="00E52611">
        <w:t xml:space="preserve"> provided to ACORN and its affiliates. GAO </w:t>
      </w:r>
      <w:r w:rsidR="00672809" w:rsidRPr="00E52611">
        <w:t xml:space="preserve">Report </w:t>
      </w:r>
      <w:r w:rsidR="00820C88" w:rsidRPr="00E52611">
        <w:t xml:space="preserve">at 6. </w:t>
      </w:r>
      <w:r w:rsidR="0036502A" w:rsidRPr="00E52611">
        <w:t xml:space="preserve">An independent report produced by attorney Scott Harshbarger </w:t>
      </w:r>
      <w:r w:rsidR="00F13441" w:rsidRPr="00E52611">
        <w:t xml:space="preserve">determined </w:t>
      </w:r>
      <w:r w:rsidR="0036502A" w:rsidRPr="00E52611">
        <w:t>that while ACORN had “longstanding management weaknesses,”</w:t>
      </w:r>
      <w:r w:rsidR="00C17C20" w:rsidRPr="00E52611">
        <w:t xml:space="preserve"> </w:t>
      </w:r>
      <w:r w:rsidR="00901911" w:rsidRPr="00E52611">
        <w:t>he</w:t>
      </w:r>
      <w:r w:rsidR="0036502A" w:rsidRPr="00E52611">
        <w:t xml:space="preserve"> “did not find a pattern of intentional, illegal conduct by ACORN staff.” Harshbarger at 3. </w:t>
      </w:r>
      <w:r w:rsidR="002634BC" w:rsidRPr="00E52611">
        <w:t xml:space="preserve">A Congressional Research Service (CRS) report found no evidence of </w:t>
      </w:r>
      <w:r w:rsidR="00B45CAE" w:rsidRPr="00E52611">
        <w:t xml:space="preserve">registration </w:t>
      </w:r>
      <w:r w:rsidR="002634BC" w:rsidRPr="00E52611">
        <w:t xml:space="preserve">fraud and no instances </w:t>
      </w:r>
      <w:r w:rsidR="006D1246" w:rsidRPr="00E52611">
        <w:t>where ACORN</w:t>
      </w:r>
      <w:r w:rsidR="002634BC" w:rsidRPr="00E52611">
        <w:t xml:space="preserve"> </w:t>
      </w:r>
      <w:r w:rsidR="006D1246" w:rsidRPr="00E52611">
        <w:t>“</w:t>
      </w:r>
      <w:r w:rsidR="002634BC" w:rsidRPr="00E52611">
        <w:t>violated the terms of federal funding in the last five ye</w:t>
      </w:r>
      <w:r w:rsidR="00A57E15" w:rsidRPr="00E52611">
        <w:t>ars</w:t>
      </w:r>
      <w:r w:rsidR="00F32DCA" w:rsidRPr="00E52611">
        <w:t xml:space="preserve">.” </w:t>
      </w:r>
      <w:r w:rsidR="00987FB6" w:rsidRPr="00E52611">
        <w:rPr>
          <w:rFonts w:cs="Times"/>
        </w:rPr>
        <w:t xml:space="preserve">CONG. RESEARCH SERV., 111TH  CONG., </w:t>
      </w:r>
      <w:r w:rsidR="00DF0559" w:rsidRPr="00E52611">
        <w:fldChar w:fldCharType="begin"/>
      </w:r>
      <w:r w:rsidR="00E52611" w:rsidRPr="00E52611">
        <w:instrText xml:space="preserve"> ADDIN BA \xc &lt;@reg&gt; \xl 86 \s QOQUYW000012 \l "</w:instrText>
      </w:r>
      <w:r w:rsidR="00E52611" w:rsidRPr="00E52611">
        <w:rPr>
          <w:rFonts w:cs="Times"/>
        </w:rPr>
        <w:instrText>MEMORANDUM TO HOUSE JUD. COMM. RE ACORN 1 (Mar. 15, 2010)</w:instrText>
      </w:r>
      <w:r w:rsidR="00E52611" w:rsidRPr="00E52611">
        <w:rPr>
          <w:bCs/>
        </w:rPr>
        <w:instrText xml:space="preserve"> (hereafter “CRS ACORN Memo”)</w:instrText>
      </w:r>
      <w:r w:rsidR="00E52611" w:rsidRPr="00E52611">
        <w:instrText xml:space="preserve">" </w:instrText>
      </w:r>
      <w:r w:rsidR="00DF0559" w:rsidRPr="00E52611">
        <w:fldChar w:fldCharType="end"/>
      </w:r>
      <w:bookmarkStart w:id="36" w:name="_BA_Cite_157"/>
      <w:r w:rsidR="009D11DA" w:rsidRPr="00E52611">
        <w:rPr>
          <w:rFonts w:cs="Times"/>
        </w:rPr>
        <w:t>MEMORANDUM</w:t>
      </w:r>
      <w:r w:rsidR="00E842A8" w:rsidRPr="00E52611">
        <w:rPr>
          <w:rFonts w:cs="Times"/>
        </w:rPr>
        <w:t xml:space="preserve"> TO HOUSE JUD. COMM. RE ACORN 1</w:t>
      </w:r>
      <w:r w:rsidR="009D11DA" w:rsidRPr="00E52611">
        <w:rPr>
          <w:rFonts w:cs="Times"/>
        </w:rPr>
        <w:t xml:space="preserve"> (</w:t>
      </w:r>
      <w:r w:rsidR="00205AA9" w:rsidRPr="00E52611">
        <w:rPr>
          <w:rFonts w:cs="Times"/>
        </w:rPr>
        <w:t>Mar</w:t>
      </w:r>
      <w:r w:rsidR="00E842A8" w:rsidRPr="00E52611">
        <w:rPr>
          <w:rFonts w:cs="Times"/>
        </w:rPr>
        <w:t>. 15, 2010</w:t>
      </w:r>
      <w:r w:rsidR="009D11DA" w:rsidRPr="00E52611">
        <w:rPr>
          <w:rFonts w:cs="Times"/>
        </w:rPr>
        <w:t>)</w:t>
      </w:r>
      <w:r w:rsidR="009D11DA" w:rsidRPr="00E52611">
        <w:rPr>
          <w:bCs/>
        </w:rPr>
        <w:t xml:space="preserve"> </w:t>
      </w:r>
      <w:r w:rsidR="006D15FC" w:rsidRPr="00E52611">
        <w:rPr>
          <w:bCs/>
        </w:rPr>
        <w:t>(hereafter “CRS ACORN Memo”)</w:t>
      </w:r>
      <w:bookmarkEnd w:id="36"/>
      <w:r w:rsidR="00625F12" w:rsidRPr="00E52611">
        <w:rPr>
          <w:bCs/>
        </w:rPr>
        <w:t>.</w:t>
      </w:r>
      <w:r w:rsidR="00625F12" w:rsidRPr="00E52611">
        <w:rPr>
          <w:bCs/>
          <w:sz w:val="22"/>
          <w:szCs w:val="22"/>
        </w:rPr>
        <w:t xml:space="preserve"> </w:t>
      </w:r>
    </w:p>
    <w:p w:rsidR="00AD78FF" w:rsidRPr="00E52611" w:rsidRDefault="00B6389D" w:rsidP="00F159E6">
      <w:pPr>
        <w:pStyle w:val="Heading1"/>
        <w:jc w:val="center"/>
      </w:pPr>
      <w:bookmarkStart w:id="37" w:name="_Toc190667441"/>
      <w:r w:rsidRPr="00E52611">
        <w:t>SUMMARY OF ARGUMENT</w:t>
      </w:r>
      <w:bookmarkEnd w:id="37"/>
    </w:p>
    <w:p w:rsidR="009669B2" w:rsidRPr="00E52611" w:rsidRDefault="009669B2" w:rsidP="009669B2"/>
    <w:p w:rsidR="009669B2" w:rsidRPr="00E52611" w:rsidRDefault="009669B2" w:rsidP="009669B2">
      <w:pPr>
        <w:spacing w:line="480" w:lineRule="auto"/>
      </w:pPr>
      <w:r w:rsidRPr="00E52611">
        <w:tab/>
        <w:t>The Court should reverse the Second Circuit. The appropriations laws are unlawful bills of attainder because they punish ACORN and its affiliates. The Constitution prohibits both Congress and the states fr</w:t>
      </w:r>
      <w:r w:rsidR="00CE58B6" w:rsidRPr="00E52611">
        <w:t>om passing bills of attainder–</w:t>
      </w:r>
      <w:r w:rsidRPr="00E52611">
        <w:t>bills that legislatively determine guilt by singling out a specific person,</w:t>
      </w:r>
      <w:r w:rsidR="006C429B" w:rsidRPr="00E52611">
        <w:t xml:space="preserve"> group</w:t>
      </w:r>
      <w:r w:rsidR="00B71F64" w:rsidRPr="00E52611">
        <w:t>,</w:t>
      </w:r>
      <w:r w:rsidRPr="00E52611">
        <w:t xml:space="preserve"> </w:t>
      </w:r>
      <w:r w:rsidR="00BA0FE0" w:rsidRPr="00E52611">
        <w:t>or entity</w:t>
      </w:r>
      <w:r w:rsidRPr="00E52611">
        <w:t xml:space="preserve"> for punishment. </w:t>
      </w:r>
      <w:r w:rsidR="00DF0559" w:rsidRPr="00E52611">
        <w:fldChar w:fldCharType="begin"/>
      </w:r>
      <w:r w:rsidR="00E52611" w:rsidRPr="00E52611">
        <w:instrText xml:space="preserve"> ADDIN BA \xc &lt;@con&gt; \xl 27 \s QOQUYW000013 \l "U.S. Const. Art. I, §§ 9-10" </w:instrText>
      </w:r>
      <w:r w:rsidR="00DF0559" w:rsidRPr="00E52611">
        <w:fldChar w:fldCharType="end"/>
      </w:r>
      <w:bookmarkStart w:id="38" w:name="_BA_Cite_158"/>
      <w:r w:rsidRPr="00E52611">
        <w:t>U.S. Const. Art. I, §§ 9-10</w:t>
      </w:r>
      <w:bookmarkEnd w:id="38"/>
      <w:r w:rsidRPr="00E52611">
        <w:t xml:space="preserve">. </w:t>
      </w:r>
    </w:p>
    <w:p w:rsidR="009669B2" w:rsidRPr="00E52611" w:rsidRDefault="009669B2" w:rsidP="009669B2">
      <w:pPr>
        <w:spacing w:line="480" w:lineRule="auto"/>
        <w:ind w:firstLine="720"/>
      </w:pPr>
      <w:r w:rsidRPr="00E52611">
        <w:t xml:space="preserve">As a preliminary matter, the prohibition against bills of attainder applies equally to corporations and individuals. Though this Court has never had the opportunity to rule on the matter, it has indicated that </w:t>
      </w:r>
      <w:r w:rsidR="00CE58B6" w:rsidRPr="00E52611">
        <w:t xml:space="preserve">the </w:t>
      </w:r>
      <w:r w:rsidR="00DF0559" w:rsidRPr="00E52611">
        <w:fldChar w:fldCharType="begin"/>
      </w:r>
      <w:r w:rsidR="00E52611" w:rsidRPr="00E52611">
        <w:instrText xml:space="preserve"> ADDIN BA \xc &lt;@osdv&gt; \xl 17 \s QOQUYW000074 \l "Attainder Clauses" </w:instrText>
      </w:r>
      <w:r w:rsidR="00DF0559" w:rsidRPr="00E52611">
        <w:fldChar w:fldCharType="end"/>
      </w:r>
      <w:bookmarkStart w:id="39" w:name="_BA_Cite_159"/>
      <w:r w:rsidR="00CE58B6" w:rsidRPr="00E52611">
        <w:t>Attainder Clauses</w:t>
      </w:r>
      <w:bookmarkEnd w:id="39"/>
      <w:r w:rsidRPr="00E52611">
        <w:t xml:space="preserve"> apply to corporations. </w:t>
      </w:r>
      <w:r w:rsidRPr="00E52611">
        <w:rPr>
          <w:i/>
        </w:rPr>
        <w:t xml:space="preserve">See </w:t>
      </w:r>
      <w:r w:rsidRPr="00E52611">
        <w:rPr>
          <w:i/>
        </w:rPr>
        <w:softHyphen/>
      </w:r>
      <w:r w:rsidRPr="00E52611">
        <w:rPr>
          <w:i/>
        </w:rPr>
        <w:softHyphen/>
      </w:r>
      <w:r w:rsidRPr="00E52611">
        <w:rPr>
          <w:i/>
        </w:rPr>
        <w:softHyphen/>
      </w:r>
      <w:r w:rsidR="00A35438" w:rsidRPr="00E52611">
        <w:rPr>
          <w:i/>
          <w:iCs/>
        </w:rPr>
        <w:t xml:space="preserve"> </w:t>
      </w:r>
      <w:r w:rsidR="00DF0559" w:rsidRPr="00E52611">
        <w:fldChar w:fldCharType="begin"/>
      </w:r>
      <w:r w:rsidR="00E52611" w:rsidRPr="00E52611">
        <w:instrText xml:space="preserve"> ADDIN BA \xc &lt;@cs&gt; \xl 54 \s QOQUYW000014 \xhfl Rep \l "</w:instrText>
      </w:r>
      <w:r w:rsidR="00E52611" w:rsidRPr="00E52611">
        <w:rPr>
          <w:i/>
          <w:iCs/>
        </w:rPr>
        <w:instrText>South Carolina v. Katzenbach</w:instrText>
      </w:r>
      <w:r w:rsidR="00E52611" w:rsidRPr="00E52611">
        <w:rPr>
          <w:iCs/>
        </w:rPr>
        <w:instrText>,&lt;SoftRt&gt;</w:instrText>
      </w:r>
      <w:r w:rsidR="00E52611" w:rsidRPr="00E52611">
        <w:instrText xml:space="preserve"> 383 U.S. 301 (1966)" </w:instrText>
      </w:r>
      <w:r w:rsidR="00DF0559" w:rsidRPr="00E52611">
        <w:fldChar w:fldCharType="end"/>
      </w:r>
      <w:bookmarkStart w:id="40" w:name="_BA_Cite_160"/>
      <w:r w:rsidR="00A35438" w:rsidRPr="00E52611">
        <w:rPr>
          <w:i/>
          <w:iCs/>
        </w:rPr>
        <w:t>South Carolina v. Katzenbach</w:t>
      </w:r>
      <w:r w:rsidR="00A35438" w:rsidRPr="00E52611">
        <w:rPr>
          <w:iCs/>
        </w:rPr>
        <w:t>,</w:t>
      </w:r>
      <w:r w:rsidR="00A35438" w:rsidRPr="00E52611">
        <w:t xml:space="preserve"> 383 U.S. </w:t>
      </w:r>
      <w:r w:rsidR="00A35438" w:rsidRPr="00E52611">
        <w:lastRenderedPageBreak/>
        <w:t>301, 324 (1966)</w:t>
      </w:r>
      <w:bookmarkEnd w:id="40"/>
      <w:r w:rsidRPr="00E52611">
        <w:rPr>
          <w:i/>
        </w:rPr>
        <w:t xml:space="preserve">. </w:t>
      </w:r>
      <w:r w:rsidR="004625A1" w:rsidRPr="00E52611">
        <w:t>And t</w:t>
      </w:r>
      <w:r w:rsidR="00A35438" w:rsidRPr="00E52611">
        <w:t xml:space="preserve">he purpose and history behind the prohibition support applying it to corporations. </w:t>
      </w:r>
    </w:p>
    <w:p w:rsidR="009669B2" w:rsidRPr="00E52611" w:rsidRDefault="009669B2" w:rsidP="009669B2">
      <w:pPr>
        <w:spacing w:line="480" w:lineRule="auto"/>
        <w:ind w:firstLine="720"/>
      </w:pPr>
      <w:r w:rsidRPr="00E52611">
        <w:t xml:space="preserve">The appropriations laws punish ACORN under the historical, functional, and motivational tests. The laws are akin to punishment historically levied against those with bills of attainder for three reasons. First, </w:t>
      </w:r>
      <w:r w:rsidR="009A7889" w:rsidRPr="00E52611">
        <w:t>Congress passed the appropriations laws as punishment for ACORN’s political beliefs and activities</w:t>
      </w:r>
      <w:r w:rsidRPr="00E52611">
        <w:t>. Statements from members of Congress demonstrate their disapproval of ACORN’s progressive agenda and support for Democratic candidates. Second, the laws mark the group</w:t>
      </w:r>
      <w:r w:rsidR="006129A9" w:rsidRPr="00E52611">
        <w:t xml:space="preserve"> with a note of infamy</w:t>
      </w:r>
      <w:r w:rsidRPr="00E52611">
        <w:t xml:space="preserve">. After the laws, ACORN became a pariah. It lost support from long-time private donors and ultimately disbanded. Third, the appropriations </w:t>
      </w:r>
      <w:r w:rsidR="0031767E" w:rsidRPr="00E52611">
        <w:t xml:space="preserve">laws </w:t>
      </w:r>
      <w:r w:rsidR="001446DC" w:rsidRPr="00E52611">
        <w:t>effectively</w:t>
      </w:r>
      <w:r w:rsidRPr="00E52611">
        <w:t xml:space="preserve"> prevent ACORN from practicing a key area of its </w:t>
      </w:r>
      <w:r w:rsidR="006129A9" w:rsidRPr="00E52611">
        <w:t>employment</w:t>
      </w:r>
      <w:r w:rsidR="006E62EE" w:rsidRPr="00E52611">
        <w:t>. Ninety-</w:t>
      </w:r>
      <w:r w:rsidRPr="00E52611">
        <w:t xml:space="preserve">six percent of federal funds provided to ACORN and its affiliates went to support their housing related efforts. Without this money, the groups are effectively </w:t>
      </w:r>
      <w:r w:rsidR="0031767E" w:rsidRPr="00E52611">
        <w:t xml:space="preserve">disqualified from continuing these efforts. </w:t>
      </w:r>
      <w:r w:rsidRPr="00E52611">
        <w:t xml:space="preserve"> </w:t>
      </w:r>
    </w:p>
    <w:p w:rsidR="009669B2" w:rsidRPr="00E52611" w:rsidRDefault="001446DC" w:rsidP="009669B2">
      <w:pPr>
        <w:spacing w:line="480" w:lineRule="auto"/>
        <w:ind w:firstLine="720"/>
      </w:pPr>
      <w:r w:rsidRPr="00E52611">
        <w:t>The</w:t>
      </w:r>
      <w:r w:rsidR="009669B2" w:rsidRPr="00E52611">
        <w:t xml:space="preserve"> appropriations laws punish ACORN under </w:t>
      </w:r>
      <w:r w:rsidR="004B56E7">
        <w:t xml:space="preserve">the functional test because </w:t>
      </w:r>
      <w:r w:rsidR="009669B2" w:rsidRPr="00E52611">
        <w:t xml:space="preserve">Congress’ purported nonpunitive purpose in passing the bills, protecting taxpayer dollars from misuse, </w:t>
      </w:r>
      <w:r w:rsidR="00993D9A" w:rsidRPr="00E52611">
        <w:t>is</w:t>
      </w:r>
      <w:r w:rsidR="009669B2" w:rsidRPr="00E52611">
        <w:t xml:space="preserve"> unrelated to the means used to achieve this goal. Notably, though Congress requested </w:t>
      </w:r>
      <w:r w:rsidR="006E62EE" w:rsidRPr="00E52611">
        <w:t xml:space="preserve">that </w:t>
      </w:r>
      <w:r w:rsidR="009669B2" w:rsidRPr="00E52611">
        <w:t>the Government Accountability Office conduct a study to determine whether ACORN misused federal funds, it did not predicate denial of funding</w:t>
      </w:r>
      <w:r w:rsidR="00CE17DD" w:rsidRPr="00E52611">
        <w:t xml:space="preserve"> on the results of the report. </w:t>
      </w:r>
      <w:r w:rsidR="0097020D" w:rsidRPr="00E52611">
        <w:t>Further</w:t>
      </w:r>
      <w:r w:rsidR="00CE17DD" w:rsidRPr="00E52611">
        <w:t>, t</w:t>
      </w:r>
      <w:r w:rsidR="009669B2" w:rsidRPr="00E52611">
        <w:t xml:space="preserve">he bills are both overinclusive and underinclusive. They are </w:t>
      </w:r>
      <w:r w:rsidR="009669B2" w:rsidRPr="00E52611">
        <w:lastRenderedPageBreak/>
        <w:t xml:space="preserve">overinclusive because they punish ACORN and all of its affiliates, </w:t>
      </w:r>
      <w:r w:rsidR="00B90E9B" w:rsidRPr="00E52611">
        <w:t xml:space="preserve">no matter whether </w:t>
      </w:r>
      <w:r w:rsidR="009669B2" w:rsidRPr="00E52611">
        <w:t>those groups</w:t>
      </w:r>
      <w:r w:rsidR="005A6975" w:rsidRPr="00E52611">
        <w:t xml:space="preserve"> actually</w:t>
      </w:r>
      <w:r w:rsidR="009669B2" w:rsidRPr="00E52611">
        <w:t xml:space="preserve"> </w:t>
      </w:r>
      <w:r w:rsidR="00114E87" w:rsidRPr="00E52611">
        <w:t xml:space="preserve">misused </w:t>
      </w:r>
      <w:r w:rsidR="009669B2" w:rsidRPr="00E52611">
        <w:t xml:space="preserve">federal funds. They are </w:t>
      </w:r>
      <w:r w:rsidR="0097020D" w:rsidRPr="00E52611">
        <w:t>underinclusive</w:t>
      </w:r>
      <w:r w:rsidR="009669B2" w:rsidRPr="00E52611">
        <w:t xml:space="preserve"> because they do not punish all organizations allegedly involved in misusing federal dollars equally, but single out only ACORN and affiliates.</w:t>
      </w:r>
    </w:p>
    <w:p w:rsidR="002664E3" w:rsidRPr="00E52611" w:rsidRDefault="009669B2" w:rsidP="00323C93">
      <w:pPr>
        <w:spacing w:line="480" w:lineRule="auto"/>
        <w:ind w:firstLine="720"/>
      </w:pPr>
      <w:r w:rsidRPr="00E52611">
        <w:t xml:space="preserve">Finally, the legislative history demonstrates that Congress intended these laws as punishment. A cadre of Republican representatives attacked ACORN on the floors of Congress as guilty of the most sensational crimes, including voter registration fraud, child prostitution and illegal immigration. The House Oversight Committee published an 88-page report entitled “Is ACORN Intentionally Structured as a Criminal Enterprise?”, which similarly </w:t>
      </w:r>
      <w:r w:rsidR="00B0157D" w:rsidRPr="00E52611">
        <w:t xml:space="preserve">claimed that </w:t>
      </w:r>
      <w:r w:rsidRPr="00E52611">
        <w:t>ACORN</w:t>
      </w:r>
      <w:r w:rsidR="00B0157D" w:rsidRPr="00E52611">
        <w:t xml:space="preserve"> was</w:t>
      </w:r>
      <w:r w:rsidRPr="00E52611">
        <w:t xml:space="preserve"> guilty of </w:t>
      </w:r>
      <w:r w:rsidR="00E645DE" w:rsidRPr="00E52611">
        <w:t>many</w:t>
      </w:r>
      <w:r w:rsidRPr="00E52611">
        <w:t xml:space="preserve"> civil and criminal wrongdoings. Notably, Congress did not wait for a judicial determination of guilt. In fact, the truth about ACORN is far less salacious–a number of independent reports produced after the laws’ passage largely </w:t>
      </w:r>
      <w:r w:rsidR="00993D9A" w:rsidRPr="00E52611">
        <w:t>exonerated ACORN</w:t>
      </w:r>
      <w:r w:rsidRPr="00E52611">
        <w:t xml:space="preserve">. But the legislative history demonstrates that Congress did not care about ACORN’s guilt or innocence. Rather, it seized upon </w:t>
      </w:r>
      <w:r w:rsidR="00BD1823" w:rsidRPr="00E52611">
        <w:t xml:space="preserve">largely false yet widely publicized </w:t>
      </w:r>
      <w:r w:rsidRPr="00E52611">
        <w:t xml:space="preserve">negative </w:t>
      </w:r>
      <w:r w:rsidR="00BD1823" w:rsidRPr="00E52611">
        <w:t xml:space="preserve">media </w:t>
      </w:r>
      <w:r w:rsidR="008E3084" w:rsidRPr="00E52611">
        <w:t>stories about ACORN</w:t>
      </w:r>
      <w:r w:rsidRPr="00E52611">
        <w:t xml:space="preserve"> as an</w:t>
      </w:r>
      <w:r w:rsidR="00BD1823" w:rsidRPr="00E52611">
        <w:t xml:space="preserve"> opportunity to punish the boldly progressive ally of Democratic candidates and low-income Americans</w:t>
      </w:r>
      <w:r w:rsidRPr="00E52611">
        <w:t xml:space="preserve">. </w:t>
      </w:r>
      <w:r w:rsidR="002664E3" w:rsidRPr="00E52611">
        <w:t xml:space="preserve">This Court </w:t>
      </w:r>
      <w:r w:rsidR="00D9637E" w:rsidRPr="00E52611">
        <w:t>should</w:t>
      </w:r>
      <w:r w:rsidR="002664E3" w:rsidRPr="00E52611">
        <w:t xml:space="preserve"> not allow Congress to punish a group </w:t>
      </w:r>
      <w:r w:rsidR="002D41DB" w:rsidRPr="00E52611">
        <w:t xml:space="preserve">merely </w:t>
      </w:r>
      <w:r w:rsidR="00104683" w:rsidRPr="00E52611">
        <w:t xml:space="preserve">because of </w:t>
      </w:r>
      <w:bookmarkStart w:id="41" w:name="_Toc190667442"/>
      <w:r w:rsidR="00D9637E" w:rsidRPr="00E52611">
        <w:t>its political beliefs and activities.</w:t>
      </w:r>
    </w:p>
    <w:p w:rsidR="00323C93" w:rsidRPr="00E52611" w:rsidRDefault="00323C93" w:rsidP="00323C93">
      <w:pPr>
        <w:spacing w:line="480" w:lineRule="auto"/>
        <w:ind w:firstLine="720"/>
      </w:pPr>
    </w:p>
    <w:p w:rsidR="00AD78FF" w:rsidRPr="00E52611" w:rsidRDefault="00B6389D" w:rsidP="00E248AD">
      <w:pPr>
        <w:pStyle w:val="Heading1"/>
        <w:jc w:val="center"/>
      </w:pPr>
      <w:r w:rsidRPr="00E52611">
        <w:lastRenderedPageBreak/>
        <w:t>ARGUMENT</w:t>
      </w:r>
      <w:bookmarkEnd w:id="41"/>
    </w:p>
    <w:p w:rsidR="00A61786" w:rsidRPr="00E52611" w:rsidRDefault="00A53330" w:rsidP="00A61786">
      <w:r w:rsidRPr="00E52611">
        <w:tab/>
      </w:r>
    </w:p>
    <w:p w:rsidR="00821F3D" w:rsidRPr="00E52611" w:rsidRDefault="003A336F" w:rsidP="00A61786">
      <w:pPr>
        <w:spacing w:line="480" w:lineRule="auto"/>
      </w:pPr>
      <w:r w:rsidRPr="00E52611">
        <w:tab/>
      </w:r>
      <w:r w:rsidR="004A34B2" w:rsidRPr="00E52611">
        <w:t xml:space="preserve">The Constitution </w:t>
      </w:r>
      <w:r w:rsidR="000064AE" w:rsidRPr="00E52611">
        <w:t xml:space="preserve">commands </w:t>
      </w:r>
      <w:r w:rsidR="004A34B2" w:rsidRPr="00E52611">
        <w:t>that</w:t>
      </w:r>
      <w:r w:rsidR="00CC68E4" w:rsidRPr="00E52611">
        <w:t xml:space="preserve"> </w:t>
      </w:r>
      <w:r w:rsidR="004A34B2" w:rsidRPr="00E52611">
        <w:t>no “</w:t>
      </w:r>
      <w:r w:rsidR="009F4F2A" w:rsidRPr="00E52611">
        <w:t xml:space="preserve">Bill of Attainder or ex post facto Law shall be passed.” </w:t>
      </w:r>
      <w:r w:rsidR="00DF0559" w:rsidRPr="00E52611">
        <w:fldChar w:fldCharType="begin"/>
      </w:r>
      <w:r w:rsidR="00E52611" w:rsidRPr="00E52611">
        <w:instrText xml:space="preserve"> ADDIN BA \xc &lt;@$con&gt; \xl 26 \s QOQUYW000013 </w:instrText>
      </w:r>
      <w:r w:rsidR="00DF0559" w:rsidRPr="00E52611">
        <w:fldChar w:fldCharType="end"/>
      </w:r>
      <w:bookmarkStart w:id="42" w:name="_BA_Cite_161"/>
      <w:r w:rsidR="004A34B2" w:rsidRPr="00E52611">
        <w:t>U.S. Const.</w:t>
      </w:r>
      <w:r w:rsidR="00D94352" w:rsidRPr="00E52611">
        <w:t xml:space="preserve"> Art. I</w:t>
      </w:r>
      <w:r w:rsidR="004A34B2" w:rsidRPr="00E52611">
        <w:t xml:space="preserve"> </w:t>
      </w:r>
      <w:r w:rsidR="004A34B2" w:rsidRPr="00E52611">
        <w:rPr>
          <w:rFonts w:ascii="Times" w:hAnsi="Times"/>
        </w:rPr>
        <w:t>§§</w:t>
      </w:r>
      <w:r w:rsidR="004A34B2" w:rsidRPr="00E52611">
        <w:t xml:space="preserve"> 9-10</w:t>
      </w:r>
      <w:bookmarkEnd w:id="42"/>
      <w:r w:rsidR="004A34B2" w:rsidRPr="00E52611">
        <w:t xml:space="preserve">. </w:t>
      </w:r>
      <w:r w:rsidR="00DF0559" w:rsidRPr="00E52611">
        <w:fldChar w:fldCharType="begin"/>
      </w:r>
      <w:r w:rsidR="00E52611" w:rsidRPr="00E52611">
        <w:instrText xml:space="preserve"> ADDIN BA \xc &lt;@osdv&gt; \xl 20 \s QOQUYW000075 \l "Article I, Section 9" </w:instrText>
      </w:r>
      <w:r w:rsidR="00DF0559" w:rsidRPr="00E52611">
        <w:fldChar w:fldCharType="end"/>
      </w:r>
      <w:bookmarkStart w:id="43" w:name="_BA_Cite_162"/>
      <w:r w:rsidR="0083175A" w:rsidRPr="00E52611">
        <w:t xml:space="preserve">Article </w:t>
      </w:r>
      <w:r w:rsidR="005D0339" w:rsidRPr="00E52611">
        <w:t>I, Section</w:t>
      </w:r>
      <w:r w:rsidR="004A34B2" w:rsidRPr="00E52611">
        <w:t xml:space="preserve"> </w:t>
      </w:r>
      <w:r w:rsidR="006450CF" w:rsidRPr="00E52611">
        <w:t>9</w:t>
      </w:r>
      <w:bookmarkEnd w:id="43"/>
      <w:r w:rsidR="006450CF" w:rsidRPr="00E52611">
        <w:t xml:space="preserve"> appli</w:t>
      </w:r>
      <w:r w:rsidR="00044096" w:rsidRPr="00E52611">
        <w:t>es the restriction to Congress;</w:t>
      </w:r>
      <w:r w:rsidR="005D0339" w:rsidRPr="00E52611">
        <w:t xml:space="preserve"> </w:t>
      </w:r>
      <w:r w:rsidR="00DF0559" w:rsidRPr="00E52611">
        <w:fldChar w:fldCharType="begin"/>
      </w:r>
      <w:r w:rsidR="00E52611" w:rsidRPr="00E52611">
        <w:instrText xml:space="preserve"> ADDIN BA \xc &lt;@osdv&gt; \xl 10 \s QOQUYW000076 \l "Section 10" </w:instrText>
      </w:r>
      <w:r w:rsidR="00DF0559" w:rsidRPr="00E52611">
        <w:fldChar w:fldCharType="end"/>
      </w:r>
      <w:bookmarkStart w:id="44" w:name="_BA_Cite_163"/>
      <w:r w:rsidR="005D0339" w:rsidRPr="00E52611">
        <w:t xml:space="preserve">Section </w:t>
      </w:r>
      <w:r w:rsidR="0011088F" w:rsidRPr="00E52611">
        <w:t>10</w:t>
      </w:r>
      <w:bookmarkEnd w:id="44"/>
      <w:r w:rsidR="0011088F" w:rsidRPr="00E52611">
        <w:t xml:space="preserve"> applies the same restriction to the states. </w:t>
      </w:r>
    </w:p>
    <w:p w:rsidR="00446132" w:rsidRPr="00E52611" w:rsidRDefault="00821F3D" w:rsidP="00A61786">
      <w:pPr>
        <w:spacing w:line="480" w:lineRule="auto"/>
      </w:pPr>
      <w:r w:rsidRPr="00E52611">
        <w:tab/>
      </w:r>
      <w:r w:rsidR="00D256BC" w:rsidRPr="00E52611">
        <w:t>A</w:t>
      </w:r>
      <w:r w:rsidR="005578C6" w:rsidRPr="00E52611">
        <w:t xml:space="preserve"> bill of attainder is “a law that legislatively determines guilt and inflicts punishment upon an identifiable individual without </w:t>
      </w:r>
      <w:r w:rsidR="00BF5F7D" w:rsidRPr="00E52611">
        <w:t>. . .</w:t>
      </w:r>
      <w:r w:rsidR="005578C6" w:rsidRPr="00E52611">
        <w:t xml:space="preserve"> the protections of a judicial trial.” </w:t>
      </w:r>
      <w:r w:rsidR="00DF0559" w:rsidRPr="00E52611">
        <w:fldChar w:fldCharType="begin"/>
      </w:r>
      <w:r w:rsidR="00E52611" w:rsidRPr="00E52611">
        <w:instrText xml:space="preserve"> ADDIN BA \xc &lt;@cs&gt; \xl 55 \s QOQUYW000015 \xhfl Rep \l "</w:instrText>
      </w:r>
      <w:r w:rsidR="00E52611" w:rsidRPr="00E52611">
        <w:rPr>
          <w:i/>
          <w:iCs/>
        </w:rPr>
        <w:instrText>Nixon v. Adm’r of Gen. Servs.</w:instrText>
      </w:r>
      <w:r w:rsidR="00E52611" w:rsidRPr="00E52611">
        <w:rPr>
          <w:iCs/>
        </w:rPr>
        <w:instrText>,&lt;SoftRt&gt;</w:instrText>
      </w:r>
      <w:r w:rsidR="00E52611" w:rsidRPr="00E52611">
        <w:instrText xml:space="preserve"> 433 U.S. 425 (1977)" </w:instrText>
      </w:r>
      <w:r w:rsidR="00DF0559" w:rsidRPr="00E52611">
        <w:fldChar w:fldCharType="end"/>
      </w:r>
      <w:bookmarkStart w:id="45" w:name="_BA_Cite_164"/>
      <w:r w:rsidR="005578C6" w:rsidRPr="00E52611">
        <w:rPr>
          <w:i/>
          <w:iCs/>
        </w:rPr>
        <w:t>Nixon v. Adm’r of Gen. Servs.</w:t>
      </w:r>
      <w:r w:rsidR="005578C6" w:rsidRPr="00E52611">
        <w:rPr>
          <w:iCs/>
        </w:rPr>
        <w:t>,</w:t>
      </w:r>
      <w:r w:rsidR="005578C6" w:rsidRPr="00E52611">
        <w:t xml:space="preserve"> 433 U.S. 425, 468 (1977)</w:t>
      </w:r>
      <w:bookmarkEnd w:id="45"/>
      <w:r w:rsidR="005578C6" w:rsidRPr="00E52611">
        <w:t>.</w:t>
      </w:r>
      <w:r w:rsidR="00183337" w:rsidRPr="00E52611">
        <w:t xml:space="preserve"> </w:t>
      </w:r>
      <w:r w:rsidR="00E61BF0" w:rsidRPr="00E52611">
        <w:t>The provision against bills of attainder “was intended not as a narrow, technical . . . prohibition, but rather as an implementation of the separations of powers, a general safeguard against legislative exercise of the judicial function</w:t>
      </w:r>
      <w:r w:rsidR="005D3A4C" w:rsidRPr="00E52611">
        <w:t xml:space="preserve">.” </w:t>
      </w:r>
      <w:r w:rsidR="00DF0559" w:rsidRPr="00E52611">
        <w:fldChar w:fldCharType="begin"/>
      </w:r>
      <w:r w:rsidR="00E52611" w:rsidRPr="00E52611">
        <w:instrText xml:space="preserve"> ADDIN BA \xc &lt;@cs&gt; \xl 47 \s QOQUYW000016 \xhfl Rep \l "</w:instrText>
      </w:r>
      <w:r w:rsidR="00E52611" w:rsidRPr="00E52611">
        <w:rPr>
          <w:i/>
        </w:rPr>
        <w:instrText>United States v. Brown</w:instrText>
      </w:r>
      <w:r w:rsidR="00E52611" w:rsidRPr="00E52611">
        <w:instrText xml:space="preserve">,&lt;SoftRt&gt; 381 U.S.437 (1965)" </w:instrText>
      </w:r>
      <w:r w:rsidR="00DF0559" w:rsidRPr="00E52611">
        <w:fldChar w:fldCharType="end"/>
      </w:r>
      <w:bookmarkStart w:id="46" w:name="_BA_Cite_165"/>
      <w:r w:rsidR="00E61BF0" w:rsidRPr="00E52611">
        <w:rPr>
          <w:i/>
        </w:rPr>
        <w:t>United States v. Brown</w:t>
      </w:r>
      <w:r w:rsidR="006F3AA3" w:rsidRPr="00E52611">
        <w:t>, 381 U.S.437, 442 (1965</w:t>
      </w:r>
      <w:r w:rsidR="00E61BF0" w:rsidRPr="00E52611">
        <w:t>)</w:t>
      </w:r>
      <w:bookmarkEnd w:id="46"/>
      <w:r w:rsidR="00E61BF0" w:rsidRPr="00E52611">
        <w:t>.</w:t>
      </w:r>
      <w:r w:rsidR="00D941E7" w:rsidRPr="00E52611">
        <w:t xml:space="preserve"> </w:t>
      </w:r>
    </w:p>
    <w:p w:rsidR="00172B9B" w:rsidRPr="00E52611" w:rsidRDefault="007E5DCA" w:rsidP="00A61786">
      <w:pPr>
        <w:pStyle w:val="ListParagraph"/>
        <w:spacing w:line="480" w:lineRule="auto"/>
        <w:ind w:left="0" w:firstLine="720"/>
      </w:pPr>
      <w:r w:rsidRPr="00E52611">
        <w:t>An</w:t>
      </w:r>
      <w:r w:rsidR="00172B9B" w:rsidRPr="00E52611">
        <w:t xml:space="preserve"> unconstitutional bill of attainder</w:t>
      </w:r>
      <w:r w:rsidRPr="00E52611">
        <w:t xml:space="preserve"> has three</w:t>
      </w:r>
      <w:r w:rsidR="006734BE" w:rsidRPr="00E52611">
        <w:t xml:space="preserve"> elements</w:t>
      </w:r>
      <w:r w:rsidR="00172B9B" w:rsidRPr="00E52611">
        <w:t xml:space="preserve">: (1) “specification of the affected persons,” (2) </w:t>
      </w:r>
      <w:r w:rsidR="00A53330" w:rsidRPr="00E52611">
        <w:t>“</w:t>
      </w:r>
      <w:r w:rsidR="00172B9B" w:rsidRPr="00E52611">
        <w:t xml:space="preserve">punishment,” and (3) “lack of judicial trial.” </w:t>
      </w:r>
      <w:r w:rsidR="00DF0559" w:rsidRPr="00E52611">
        <w:fldChar w:fldCharType="begin"/>
      </w:r>
      <w:r w:rsidR="00E52611" w:rsidRPr="00E52611">
        <w:instrText xml:space="preserve"> ADDIN BA \xc &lt;@cs&gt; \xl 88 \s QOQUYW000017 \xhfl Rep \l "</w:instrText>
      </w:r>
      <w:r w:rsidR="00E52611" w:rsidRPr="00E52611">
        <w:rPr>
          <w:i/>
        </w:rPr>
        <w:instrText>Selective Serv. Sys. v. Minn. Pub. Interest Research Group.</w:instrText>
      </w:r>
      <w:r w:rsidR="00E52611" w:rsidRPr="00E52611">
        <w:instrText xml:space="preserve">, &lt;SoftRt&gt;468 U.S. 841 (1984)" </w:instrText>
      </w:r>
      <w:r w:rsidR="00DF0559" w:rsidRPr="00E52611">
        <w:fldChar w:fldCharType="end"/>
      </w:r>
      <w:bookmarkStart w:id="47" w:name="_BA_Cite_166"/>
      <w:r w:rsidR="00C27CE4" w:rsidRPr="00E52611">
        <w:rPr>
          <w:i/>
        </w:rPr>
        <w:t>Selective Serv.</w:t>
      </w:r>
      <w:r w:rsidR="004A2D25" w:rsidRPr="00E52611">
        <w:rPr>
          <w:i/>
        </w:rPr>
        <w:t xml:space="preserve"> Sys.</w:t>
      </w:r>
      <w:r w:rsidR="00172B9B" w:rsidRPr="00E52611">
        <w:rPr>
          <w:i/>
        </w:rPr>
        <w:t xml:space="preserve"> v</w:t>
      </w:r>
      <w:r w:rsidR="004A2D25" w:rsidRPr="00E52611">
        <w:rPr>
          <w:i/>
        </w:rPr>
        <w:t>. Minn</w:t>
      </w:r>
      <w:r w:rsidR="00C27CE4" w:rsidRPr="00E52611">
        <w:rPr>
          <w:i/>
        </w:rPr>
        <w:t>. Pub. Interest</w:t>
      </w:r>
      <w:r w:rsidR="004A2D25" w:rsidRPr="00E52611">
        <w:rPr>
          <w:i/>
        </w:rPr>
        <w:t xml:space="preserve"> Research Gr</w:t>
      </w:r>
      <w:r w:rsidR="000D3CE5" w:rsidRPr="00E52611">
        <w:rPr>
          <w:i/>
        </w:rPr>
        <w:t>ou</w:t>
      </w:r>
      <w:r w:rsidR="00172B9B" w:rsidRPr="00E52611">
        <w:rPr>
          <w:i/>
        </w:rPr>
        <w:t>p</w:t>
      </w:r>
      <w:r w:rsidR="004A2D25" w:rsidRPr="00E52611">
        <w:rPr>
          <w:i/>
        </w:rPr>
        <w:t>.</w:t>
      </w:r>
      <w:r w:rsidR="00C27CE4" w:rsidRPr="00E52611">
        <w:t xml:space="preserve">, 468 U.S. 841, </w:t>
      </w:r>
      <w:r w:rsidR="00172B9B" w:rsidRPr="00E52611">
        <w:t>8</w:t>
      </w:r>
      <w:r w:rsidR="00044096" w:rsidRPr="00E52611">
        <w:t>46-47 (1984)</w:t>
      </w:r>
      <w:bookmarkEnd w:id="47"/>
      <w:r w:rsidR="00044096" w:rsidRPr="00E52611">
        <w:t>. In the proceeding</w:t>
      </w:r>
      <w:r w:rsidR="00172B9B" w:rsidRPr="00E52611">
        <w:t xml:space="preserve"> below, Defendants did not challenge the district court’s determination </w:t>
      </w:r>
      <w:r w:rsidR="00F85ABE" w:rsidRPr="00E52611">
        <w:t>that</w:t>
      </w:r>
      <w:r w:rsidR="00172B9B" w:rsidRPr="00E52611">
        <w:t xml:space="preserve"> elements one and three w</w:t>
      </w:r>
      <w:r w:rsidR="00A61AEA" w:rsidRPr="00E52611">
        <w:t xml:space="preserve">ere satisfied. </w:t>
      </w:r>
      <w:r w:rsidR="00DF0559" w:rsidRPr="00E52611">
        <w:fldChar w:fldCharType="begin"/>
      </w:r>
      <w:r w:rsidR="00E52611" w:rsidRPr="00E52611">
        <w:instrText xml:space="preserve"> ADDIN BA \xc &lt;@rec&gt; \xl 10 \s QOQUYW000077 \xpl 1 \l "(R. at 14)" </w:instrText>
      </w:r>
      <w:r w:rsidR="00DF0559" w:rsidRPr="00E52611">
        <w:fldChar w:fldCharType="end"/>
      </w:r>
      <w:bookmarkStart w:id="48" w:name="_BA_Cite_167"/>
      <w:r w:rsidR="00A61AEA" w:rsidRPr="00E52611">
        <w:t>(R. at 14)</w:t>
      </w:r>
      <w:bookmarkEnd w:id="48"/>
      <w:r w:rsidR="00A61AEA" w:rsidRPr="00E52611">
        <w:t>. The appropriations b</w:t>
      </w:r>
      <w:r w:rsidR="00172B9B" w:rsidRPr="00E52611">
        <w:t xml:space="preserve">ills plainly meet these two requirements: </w:t>
      </w:r>
      <w:r w:rsidR="00CA1F48" w:rsidRPr="00E52611">
        <w:t xml:space="preserve">each of the disputed laws specifically named ACORN and its affiliates, </w:t>
      </w:r>
      <w:r w:rsidR="00CF6D9E" w:rsidRPr="00E52611">
        <w:t xml:space="preserve">and </w:t>
      </w:r>
      <w:r w:rsidR="00172B9B" w:rsidRPr="00E52611">
        <w:t xml:space="preserve">ACORN had not </w:t>
      </w:r>
      <w:r w:rsidR="00F16F05" w:rsidRPr="00E52611">
        <w:t xml:space="preserve">been </w:t>
      </w:r>
      <w:r w:rsidR="00172B9B" w:rsidRPr="00E52611">
        <w:t xml:space="preserve">tried in court for any alleged criminal or civil wrongs </w:t>
      </w:r>
      <w:r w:rsidR="00CA1F48" w:rsidRPr="00E52611">
        <w:t>before</w:t>
      </w:r>
      <w:r w:rsidR="00172B9B" w:rsidRPr="00E52611">
        <w:t xml:space="preserve"> the President signed</w:t>
      </w:r>
      <w:r w:rsidR="002C2523" w:rsidRPr="00E52611">
        <w:t xml:space="preserve"> the b</w:t>
      </w:r>
      <w:r w:rsidR="00172B9B" w:rsidRPr="00E52611">
        <w:t>ills into law. (</w:t>
      </w:r>
      <w:r w:rsidR="00172B9B" w:rsidRPr="00E52611">
        <w:rPr>
          <w:i/>
        </w:rPr>
        <w:t xml:space="preserve">See </w:t>
      </w:r>
      <w:r w:rsidR="00DF0559" w:rsidRPr="00E52611">
        <w:fldChar w:fldCharType="begin"/>
      </w:r>
      <w:r w:rsidR="00E52611" w:rsidRPr="00E52611">
        <w:instrText xml:space="preserve"> ADDIN BA \xc &lt;@$id&gt; \xl 3 \s ID \xpl 1 </w:instrText>
      </w:r>
      <w:r w:rsidR="00DF0559" w:rsidRPr="00E52611">
        <w:fldChar w:fldCharType="end"/>
      </w:r>
      <w:r w:rsidR="00172B9B" w:rsidRPr="00E52611">
        <w:rPr>
          <w:i/>
        </w:rPr>
        <w:t>id.</w:t>
      </w:r>
      <w:r w:rsidR="00172B9B" w:rsidRPr="00E52611">
        <w:t xml:space="preserve">). </w:t>
      </w:r>
    </w:p>
    <w:p w:rsidR="00172B9B" w:rsidRPr="00E52611" w:rsidRDefault="002E3F87" w:rsidP="00A61786">
      <w:pPr>
        <w:pStyle w:val="ListParagraph"/>
        <w:spacing w:line="480" w:lineRule="auto"/>
        <w:ind w:left="0" w:firstLine="720"/>
      </w:pPr>
      <w:r w:rsidRPr="00E52611">
        <w:lastRenderedPageBreak/>
        <w:t>This</w:t>
      </w:r>
      <w:r w:rsidR="00172B9B" w:rsidRPr="00E52611">
        <w:t xml:space="preserve"> case </w:t>
      </w:r>
      <w:r w:rsidR="00CA1F48" w:rsidRPr="00E52611">
        <w:t xml:space="preserve">turns on </w:t>
      </w:r>
      <w:r w:rsidR="00172B9B" w:rsidRPr="00E52611">
        <w:t>the second eleme</w:t>
      </w:r>
      <w:r w:rsidR="00100BBE" w:rsidRPr="00E52611">
        <w:t>nt,</w:t>
      </w:r>
      <w:r w:rsidR="00877196" w:rsidRPr="00E52611">
        <w:t xml:space="preserve"> whether the a</w:t>
      </w:r>
      <w:r w:rsidR="00172B9B" w:rsidRPr="00E52611">
        <w:t xml:space="preserve">ppropriations </w:t>
      </w:r>
      <w:r w:rsidR="00877196" w:rsidRPr="00E52611">
        <w:t>l</w:t>
      </w:r>
      <w:r w:rsidR="00AB182F" w:rsidRPr="00E52611">
        <w:t>aws</w:t>
      </w:r>
      <w:r w:rsidR="00172B9B" w:rsidRPr="00E52611">
        <w:t xml:space="preserve"> </w:t>
      </w:r>
      <w:r w:rsidR="00543846" w:rsidRPr="00E52611">
        <w:t>punish ACORN and its affiliates.</w:t>
      </w:r>
      <w:r w:rsidR="00172B9B" w:rsidRPr="00E52611">
        <w:t xml:space="preserve"> This determination involves three inquiries: (1) “whether the challenged statute falls within the historical meaning of legislative punishment” (the historical test of punishment); (2) “whether the statute, viewed in terms of the type and severity of the burdens imposed, reasonably can be said to further nonpunitive legislative purposes” (the functional test of punishment); and (3) “whether the record evinces a</w:t>
      </w:r>
      <w:r w:rsidR="002C66EA" w:rsidRPr="00E52611">
        <w:t xml:space="preserve"> congressional intent to punish</w:t>
      </w:r>
      <w:r w:rsidR="00172B9B" w:rsidRPr="00E52611">
        <w:t>”</w:t>
      </w:r>
      <w:r w:rsidR="002C66EA" w:rsidRPr="00E52611">
        <w:t xml:space="preserve"> (the motivational test of punishment).</w:t>
      </w:r>
      <w:r w:rsidR="00172B9B" w:rsidRPr="00E52611">
        <w:t xml:space="preserve"> </w:t>
      </w:r>
      <w:r w:rsidR="00172B9B" w:rsidRPr="00E52611">
        <w:rPr>
          <w:i/>
        </w:rPr>
        <w:t>Selective Service</w:t>
      </w:r>
      <w:r w:rsidR="001A60A5" w:rsidRPr="00E52611">
        <w:rPr>
          <w:i/>
        </w:rPr>
        <w:t xml:space="preserve"> Sys.</w:t>
      </w:r>
      <w:r w:rsidR="00172B9B" w:rsidRPr="00E52611">
        <w:t xml:space="preserve">, </w:t>
      </w:r>
      <w:r w:rsidR="00DF0559" w:rsidRPr="00E52611">
        <w:fldChar w:fldCharType="begin"/>
      </w:r>
      <w:r w:rsidR="00E52611" w:rsidRPr="00E52611">
        <w:instrText xml:space="preserve"> ADDIN BA \xc &lt;@$cs&gt; \xl 15 \s QOQUYW000017 \xhfl Rep </w:instrText>
      </w:r>
      <w:r w:rsidR="00DF0559" w:rsidRPr="00E52611">
        <w:fldChar w:fldCharType="end"/>
      </w:r>
      <w:r w:rsidR="00172B9B" w:rsidRPr="00E52611">
        <w:t xml:space="preserve">468 U.S. at 852 (internal quotations omitted). A statute “need not fit all three factors to be considered a bill of attainder.” </w:t>
      </w:r>
      <w:r w:rsidR="00DF0559" w:rsidRPr="00E52611">
        <w:fldChar w:fldCharType="begin"/>
      </w:r>
      <w:r w:rsidR="00E52611" w:rsidRPr="00E52611">
        <w:instrText xml:space="preserve"> ADDIN BA \xc &lt;@cs&gt; \xl 55 \s QOQUYW000018 \xhfl Rep \l "</w:instrText>
      </w:r>
      <w:r w:rsidR="00E52611" w:rsidRPr="00E52611">
        <w:rPr>
          <w:i/>
        </w:rPr>
        <w:instrText>Con. Edison v. Pataki</w:instrText>
      </w:r>
      <w:r w:rsidR="00E52611" w:rsidRPr="00E52611">
        <w:instrText xml:space="preserve">,&lt;SoftRt&gt; 292 F.3d 338 (2d Cir. 2002)" </w:instrText>
      </w:r>
      <w:r w:rsidR="00DF0559" w:rsidRPr="00E52611">
        <w:fldChar w:fldCharType="end"/>
      </w:r>
      <w:bookmarkStart w:id="49" w:name="_BA_Cite_168"/>
      <w:r w:rsidR="00172B9B" w:rsidRPr="00E52611">
        <w:rPr>
          <w:i/>
        </w:rPr>
        <w:t>Con. Edison</w:t>
      </w:r>
      <w:r w:rsidR="00686D1D" w:rsidRPr="00E52611">
        <w:rPr>
          <w:i/>
        </w:rPr>
        <w:t xml:space="preserve"> v. </w:t>
      </w:r>
      <w:r w:rsidR="007B7CC9" w:rsidRPr="00E52611">
        <w:rPr>
          <w:i/>
        </w:rPr>
        <w:t>Pataki</w:t>
      </w:r>
      <w:r w:rsidR="00CF6D9E" w:rsidRPr="00E52611">
        <w:t>, 292 F.3d 338</w:t>
      </w:r>
      <w:r w:rsidRPr="00E52611">
        <w:t xml:space="preserve">, </w:t>
      </w:r>
      <w:r w:rsidR="00CF6D9E" w:rsidRPr="00E52611">
        <w:t>350</w:t>
      </w:r>
      <w:r w:rsidRPr="00E52611">
        <w:t xml:space="preserve"> (2d Cir. 2002)</w:t>
      </w:r>
      <w:bookmarkEnd w:id="49"/>
      <w:r w:rsidR="00172B9B" w:rsidRPr="00E52611">
        <w:t>.  Rather the</w:t>
      </w:r>
      <w:r w:rsidR="009810A8" w:rsidRPr="00E52611">
        <w:t xml:space="preserve"> Court weighs all three factors</w:t>
      </w:r>
      <w:r w:rsidR="00172B9B" w:rsidRPr="00E52611">
        <w:t xml:space="preserve"> together</w:t>
      </w:r>
      <w:r w:rsidR="000D6CA7" w:rsidRPr="00E52611">
        <w:t xml:space="preserve"> in reaching its determination.</w:t>
      </w:r>
      <w:r w:rsidR="006E47D0" w:rsidRPr="00E52611">
        <w:t xml:space="preserve"> </w:t>
      </w:r>
      <w:r w:rsidR="00DF0559" w:rsidRPr="00E52611">
        <w:fldChar w:fldCharType="begin"/>
      </w:r>
      <w:r w:rsidR="00E52611" w:rsidRPr="00E52611">
        <w:instrText xml:space="preserve"> ADDIN BA \xc &lt;@$id&gt; \xl 3 \s ID </w:instrText>
      </w:r>
      <w:r w:rsidR="00DF0559" w:rsidRPr="00E52611">
        <w:fldChar w:fldCharType="end"/>
      </w:r>
      <w:r w:rsidR="00172B9B" w:rsidRPr="00E52611">
        <w:rPr>
          <w:i/>
        </w:rPr>
        <w:t>Id.</w:t>
      </w:r>
      <w:r w:rsidR="00172B9B" w:rsidRPr="00E52611">
        <w:t xml:space="preserve"> And each attainder case “turns on its own highly particularized context.” </w:t>
      </w:r>
      <w:r w:rsidR="00DF0559" w:rsidRPr="00E52611">
        <w:fldChar w:fldCharType="begin"/>
      </w:r>
      <w:r w:rsidR="00E52611" w:rsidRPr="00E52611">
        <w:instrText xml:space="preserve"> ADDIN BA \xc &lt;@cs&gt; \xl 44 \s QOQUYW000019 \xhfl Rep \l "</w:instrText>
      </w:r>
      <w:r w:rsidR="00E52611" w:rsidRPr="00E52611">
        <w:rPr>
          <w:i/>
        </w:rPr>
        <w:instrText>Flemming v. Nestor</w:instrText>
      </w:r>
      <w:r w:rsidR="00E52611" w:rsidRPr="00E52611">
        <w:instrText xml:space="preserve">,&lt;SoftRt&gt; 363 U.S. 603 (1960)" </w:instrText>
      </w:r>
      <w:r w:rsidR="00DF0559" w:rsidRPr="00E52611">
        <w:fldChar w:fldCharType="end"/>
      </w:r>
      <w:bookmarkStart w:id="50" w:name="_BA_Cite_169"/>
      <w:r w:rsidR="00172B9B" w:rsidRPr="00E52611">
        <w:rPr>
          <w:i/>
        </w:rPr>
        <w:t>Flemming v. Nestor</w:t>
      </w:r>
      <w:r w:rsidR="00172B9B" w:rsidRPr="00E52611">
        <w:t>, 363 U.S. 603, 616 (1960)</w:t>
      </w:r>
      <w:bookmarkEnd w:id="50"/>
      <w:r w:rsidR="00172B9B" w:rsidRPr="00E52611">
        <w:t>. The particular facts of this case establish th</w:t>
      </w:r>
      <w:r w:rsidR="00686D1D" w:rsidRPr="00E52611">
        <w:t xml:space="preserve">at </w:t>
      </w:r>
      <w:r w:rsidR="00522347" w:rsidRPr="00E52611">
        <w:t>the a</w:t>
      </w:r>
      <w:r w:rsidR="00686D1D" w:rsidRPr="00E52611">
        <w:t xml:space="preserve">ppropriations </w:t>
      </w:r>
      <w:r w:rsidR="00522347" w:rsidRPr="00E52611">
        <w:t>laws</w:t>
      </w:r>
      <w:r w:rsidR="00C24C30" w:rsidRPr="00E52611">
        <w:t xml:space="preserve"> punish ACORN under all three tests.</w:t>
      </w:r>
    </w:p>
    <w:p w:rsidR="00D8533B" w:rsidRPr="00E52611" w:rsidRDefault="00D8533B" w:rsidP="001E3504">
      <w:pPr>
        <w:pStyle w:val="Heading2"/>
        <w:numPr>
          <w:ilvl w:val="0"/>
          <w:numId w:val="9"/>
        </w:numPr>
        <w:ind w:left="720"/>
      </w:pPr>
      <w:bookmarkStart w:id="51" w:name="_Toc190667443"/>
      <w:r w:rsidRPr="00E52611">
        <w:t xml:space="preserve">The Prohibition Against Bills of Attainder Applies Equally to </w:t>
      </w:r>
      <w:r w:rsidR="00704F45" w:rsidRPr="00E52611">
        <w:t>Individuals</w:t>
      </w:r>
      <w:r w:rsidRPr="00E52611">
        <w:t xml:space="preserve"> and Corporations</w:t>
      </w:r>
      <w:r w:rsidR="00E469FB" w:rsidRPr="00E52611">
        <w:rPr>
          <w:rStyle w:val="FootnoteReference"/>
          <w:b w:val="0"/>
          <w:szCs w:val="24"/>
        </w:rPr>
        <w:footnoteReference w:id="5"/>
      </w:r>
      <w:bookmarkEnd w:id="51"/>
    </w:p>
    <w:p w:rsidR="00217A3C" w:rsidRPr="00E52611" w:rsidRDefault="00217A3C" w:rsidP="00217A3C"/>
    <w:p w:rsidR="00B85027" w:rsidRPr="00E52611" w:rsidRDefault="00B85027" w:rsidP="00217A3C">
      <w:pPr>
        <w:pStyle w:val="ListParagraph"/>
        <w:spacing w:line="480" w:lineRule="auto"/>
        <w:ind w:left="0" w:firstLine="720"/>
      </w:pPr>
      <w:r w:rsidRPr="00E52611">
        <w:t>The Constitution safeguards corporations as well a</w:t>
      </w:r>
      <w:r w:rsidR="00665CD1" w:rsidRPr="00E52611">
        <w:t>s individuals against unlawful bills of a</w:t>
      </w:r>
      <w:r w:rsidRPr="00E52611">
        <w:t xml:space="preserve">ttainder. </w:t>
      </w:r>
      <w:r w:rsidR="0016749C" w:rsidRPr="00E52611">
        <w:t>Preced</w:t>
      </w:r>
      <w:r w:rsidR="00154B35" w:rsidRPr="00E52611">
        <w:t>ent, history, and the meaning behind</w:t>
      </w:r>
      <w:r w:rsidR="007C0A65" w:rsidRPr="00E52611">
        <w:t xml:space="preserve"> the </w:t>
      </w:r>
      <w:r w:rsidR="00DF0559" w:rsidRPr="00E52611">
        <w:fldChar w:fldCharType="begin"/>
      </w:r>
      <w:r w:rsidR="00E52611" w:rsidRPr="00E52611">
        <w:instrText xml:space="preserve"> ADDIN BA \xc &lt;@$osdv&gt; \xl 17 \s QOQUYW000074 </w:instrText>
      </w:r>
      <w:r w:rsidR="00DF0559" w:rsidRPr="00E52611">
        <w:fldChar w:fldCharType="end"/>
      </w:r>
      <w:r w:rsidR="007C0A65" w:rsidRPr="00E52611">
        <w:t>A</w:t>
      </w:r>
      <w:r w:rsidR="006174F3" w:rsidRPr="00E52611">
        <w:t>ttaind</w:t>
      </w:r>
      <w:r w:rsidR="007C0A65" w:rsidRPr="00E52611">
        <w:t>er C</w:t>
      </w:r>
      <w:r w:rsidR="00665CD1" w:rsidRPr="00E52611">
        <w:t>lauses</w:t>
      </w:r>
      <w:r w:rsidR="0016749C" w:rsidRPr="00E52611">
        <w:t xml:space="preserve"> support this conclusion.  </w:t>
      </w:r>
    </w:p>
    <w:p w:rsidR="00DE75C9" w:rsidRPr="00E52611" w:rsidRDefault="00154B35" w:rsidP="0005490F">
      <w:pPr>
        <w:pStyle w:val="Heading3"/>
        <w:numPr>
          <w:ilvl w:val="0"/>
          <w:numId w:val="11"/>
        </w:numPr>
        <w:ind w:left="1440" w:hanging="720"/>
      </w:pPr>
      <w:bookmarkStart w:id="54" w:name="_Toc190667444"/>
      <w:r w:rsidRPr="00E52611">
        <w:lastRenderedPageBreak/>
        <w:t>This Court</w:t>
      </w:r>
      <w:r w:rsidR="0037470B" w:rsidRPr="00E52611">
        <w:t xml:space="preserve"> has Indicated that </w:t>
      </w:r>
      <w:r w:rsidR="00884BE2" w:rsidRPr="00E52611">
        <w:t xml:space="preserve">the </w:t>
      </w:r>
      <w:r w:rsidR="00DF0559" w:rsidRPr="00E52611">
        <w:fldChar w:fldCharType="begin"/>
      </w:r>
      <w:r w:rsidR="00E52611" w:rsidRPr="00E52611">
        <w:instrText xml:space="preserve"> ADDIN BA \xc &lt;@$osdv&gt; \xl 17 \s QOQUYW000074 </w:instrText>
      </w:r>
      <w:r w:rsidR="00DF0559" w:rsidRPr="00E52611">
        <w:fldChar w:fldCharType="end"/>
      </w:r>
      <w:r w:rsidR="00884BE2" w:rsidRPr="00E52611">
        <w:t>Attainder Clauses Apply</w:t>
      </w:r>
      <w:r w:rsidR="0037470B" w:rsidRPr="00E52611">
        <w:t xml:space="preserve"> to Corporations and All Lower Courts Addressing the Issue have Held or Assumed that the Clause Applies to Corporations</w:t>
      </w:r>
      <w:bookmarkEnd w:id="54"/>
      <w:r w:rsidR="0037470B" w:rsidRPr="00E52611">
        <w:t xml:space="preserve"> </w:t>
      </w:r>
    </w:p>
    <w:p w:rsidR="005168FD" w:rsidRPr="00E52611" w:rsidRDefault="005168FD" w:rsidP="005168FD"/>
    <w:p w:rsidR="007B5217" w:rsidRPr="00E52611" w:rsidRDefault="009C4261" w:rsidP="005168FD">
      <w:pPr>
        <w:pStyle w:val="ListParagraph"/>
        <w:spacing w:line="480" w:lineRule="auto"/>
        <w:ind w:left="0" w:firstLine="720"/>
      </w:pPr>
      <w:r w:rsidRPr="00E52611">
        <w:t xml:space="preserve">Though never directly ruling on the matter, this Court has </w:t>
      </w:r>
      <w:r w:rsidR="002441FB" w:rsidRPr="00E52611">
        <w:t xml:space="preserve">indicated that the Bill of </w:t>
      </w:r>
      <w:r w:rsidR="00DF0559" w:rsidRPr="00E52611">
        <w:fldChar w:fldCharType="begin"/>
      </w:r>
      <w:r w:rsidR="00E52611" w:rsidRPr="00E52611">
        <w:instrText xml:space="preserve"> ADDIN BA \xc &lt;@$osdv&gt; \xl 17 \s QOQUYW000074 </w:instrText>
      </w:r>
      <w:r w:rsidR="00DF0559" w:rsidRPr="00E52611">
        <w:fldChar w:fldCharType="end"/>
      </w:r>
      <w:r w:rsidR="002441FB" w:rsidRPr="00E52611">
        <w:t>A</w:t>
      </w:r>
      <w:r w:rsidR="007C0A65" w:rsidRPr="00E52611">
        <w:t>ttainder C</w:t>
      </w:r>
      <w:r w:rsidR="002F6535" w:rsidRPr="00E52611">
        <w:t>lause</w:t>
      </w:r>
      <w:r w:rsidR="00665CD1" w:rsidRPr="00E52611">
        <w:t>s</w:t>
      </w:r>
      <w:r w:rsidR="002F6535" w:rsidRPr="00E52611">
        <w:t xml:space="preserve"> </w:t>
      </w:r>
      <w:r w:rsidR="00561C47" w:rsidRPr="00E52611">
        <w:t>apply</w:t>
      </w:r>
      <w:r w:rsidR="002F6535" w:rsidRPr="00E52611">
        <w:t xml:space="preserve"> to corporations. </w:t>
      </w:r>
      <w:r w:rsidR="00484543" w:rsidRPr="00E52611">
        <w:t>The Court</w:t>
      </w:r>
      <w:r w:rsidR="00454F46" w:rsidRPr="00E52611">
        <w:t xml:space="preserve"> has stated that the prohibition provides “protections for individual persons </w:t>
      </w:r>
      <w:r w:rsidR="00454F46" w:rsidRPr="00E52611">
        <w:rPr>
          <w:i/>
          <w:iCs/>
        </w:rPr>
        <w:t>and private groups</w:t>
      </w:r>
      <w:r w:rsidR="00716D21" w:rsidRPr="00E52611">
        <w:t>,</w:t>
      </w:r>
      <w:r w:rsidR="00454F46" w:rsidRPr="00E52611">
        <w:t xml:space="preserve">” </w:t>
      </w:r>
      <w:r w:rsidR="00DF0559" w:rsidRPr="00E52611">
        <w:fldChar w:fldCharType="begin"/>
      </w:r>
      <w:r w:rsidR="00E52611" w:rsidRPr="00E52611">
        <w:instrText xml:space="preserve"> ADDIN BA \xc &lt;@$cs&gt; \xl 54 \s QOQUYW000014 \xhfl Rep </w:instrText>
      </w:r>
      <w:r w:rsidR="00DF0559" w:rsidRPr="00E52611">
        <w:fldChar w:fldCharType="end"/>
      </w:r>
      <w:bookmarkStart w:id="55" w:name="_BA_Cite_172"/>
      <w:r w:rsidR="00454F46" w:rsidRPr="00E52611">
        <w:rPr>
          <w:i/>
          <w:iCs/>
        </w:rPr>
        <w:t>South Carolina v. Katzenbach</w:t>
      </w:r>
      <w:r w:rsidR="00454F46" w:rsidRPr="00E52611">
        <w:rPr>
          <w:iCs/>
        </w:rPr>
        <w:t>,</w:t>
      </w:r>
      <w:r w:rsidR="002D7B35" w:rsidRPr="00E52611">
        <w:t xml:space="preserve"> 383 U.S. 301, 324 </w:t>
      </w:r>
      <w:r w:rsidR="00454F46" w:rsidRPr="00E52611">
        <w:t>(1966)</w:t>
      </w:r>
      <w:bookmarkEnd w:id="55"/>
      <w:r w:rsidR="00454F46" w:rsidRPr="00E52611">
        <w:t xml:space="preserve"> (emphasis added), and that a bill of attainder may target a “single individual </w:t>
      </w:r>
      <w:r w:rsidR="00454F46" w:rsidRPr="00E52611">
        <w:rPr>
          <w:i/>
          <w:iCs/>
        </w:rPr>
        <w:t>or firm</w:t>
      </w:r>
      <w:r w:rsidR="00454F46" w:rsidRPr="00E52611">
        <w:rPr>
          <w:iCs/>
        </w:rPr>
        <w:t>.</w:t>
      </w:r>
      <w:r w:rsidR="00454F46" w:rsidRPr="00E52611">
        <w:t xml:space="preserve">” </w:t>
      </w:r>
      <w:r w:rsidR="00DF0559" w:rsidRPr="00E52611">
        <w:fldChar w:fldCharType="begin"/>
      </w:r>
      <w:r w:rsidR="00E52611" w:rsidRPr="00E52611">
        <w:instrText xml:space="preserve"> ADDIN BA \xc &lt;@cs&gt; \xl 62 \s QOQUYW000020 \xhfl Rep \l "</w:instrText>
      </w:r>
      <w:r w:rsidR="00E52611" w:rsidRPr="00E52611">
        <w:rPr>
          <w:i/>
          <w:iCs/>
        </w:rPr>
        <w:instrText>Plaut v. Spendthrift Farm, Inc.</w:instrText>
      </w:r>
      <w:r w:rsidR="00E52611" w:rsidRPr="00E52611">
        <w:rPr>
          <w:iCs/>
        </w:rPr>
        <w:instrText>,&lt;SoftRt&gt;</w:instrText>
      </w:r>
      <w:r w:rsidR="00E52611" w:rsidRPr="00E52611">
        <w:instrText xml:space="preserve"> 514 U.S. 211 (1995)" </w:instrText>
      </w:r>
      <w:r w:rsidR="00DF0559" w:rsidRPr="00E52611">
        <w:fldChar w:fldCharType="end"/>
      </w:r>
      <w:bookmarkStart w:id="56" w:name="_BA_Cite_173"/>
      <w:r w:rsidR="00446910">
        <w:rPr>
          <w:i/>
          <w:iCs/>
        </w:rPr>
        <w:t>Plaut v. Spendthrift Farm</w:t>
      </w:r>
      <w:bookmarkStart w:id="57" w:name="_GoBack"/>
      <w:bookmarkEnd w:id="57"/>
      <w:r w:rsidR="00454F46" w:rsidRPr="00E52611">
        <w:rPr>
          <w:iCs/>
        </w:rPr>
        <w:t>,</w:t>
      </w:r>
      <w:r w:rsidR="00454F46" w:rsidRPr="00E52611">
        <w:t xml:space="preserve"> </w:t>
      </w:r>
      <w:r w:rsidR="00E73F34" w:rsidRPr="00E52611">
        <w:t xml:space="preserve">514 U.S. 211, 239 n. 9 </w:t>
      </w:r>
      <w:r w:rsidR="00454F46" w:rsidRPr="00E52611">
        <w:t>(1995)</w:t>
      </w:r>
      <w:bookmarkEnd w:id="56"/>
      <w:r w:rsidR="00454F46" w:rsidRPr="00E52611">
        <w:t xml:space="preserve"> (emphasis added).</w:t>
      </w:r>
      <w:r w:rsidR="007836EE" w:rsidRPr="00E52611">
        <w:t xml:space="preserve"> </w:t>
      </w:r>
    </w:p>
    <w:p w:rsidR="008277CA" w:rsidRPr="00E52611" w:rsidRDefault="008D02E7" w:rsidP="005168FD">
      <w:pPr>
        <w:spacing w:line="480" w:lineRule="auto"/>
        <w:rPr>
          <w:rFonts w:eastAsia="Times New Roman"/>
          <w:lang w:eastAsia="en-US"/>
        </w:rPr>
      </w:pPr>
      <w:r w:rsidRPr="00E52611">
        <w:tab/>
      </w:r>
      <w:r w:rsidR="008277CA" w:rsidRPr="00E52611">
        <w:t xml:space="preserve">Further, all lower courts faced with the question have either </w:t>
      </w:r>
      <w:r w:rsidR="008F7460" w:rsidRPr="00E52611">
        <w:t xml:space="preserve">held </w:t>
      </w:r>
      <w:r w:rsidR="00EC67A3" w:rsidRPr="00E52611">
        <w:t xml:space="preserve">that the </w:t>
      </w:r>
      <w:r w:rsidR="00DF0559" w:rsidRPr="00E52611">
        <w:fldChar w:fldCharType="begin"/>
      </w:r>
      <w:r w:rsidR="00E52611" w:rsidRPr="00E52611">
        <w:instrText xml:space="preserve"> ADDIN BA \xc &lt;@$osdv&gt; \xl 17 \s QOQUYW000074 </w:instrText>
      </w:r>
      <w:r w:rsidR="00DF0559" w:rsidRPr="00E52611">
        <w:fldChar w:fldCharType="end"/>
      </w:r>
      <w:r w:rsidR="00EB31AD" w:rsidRPr="00E52611">
        <w:t xml:space="preserve">Attainder </w:t>
      </w:r>
      <w:r w:rsidR="002441FB" w:rsidRPr="00E52611">
        <w:t>Cl</w:t>
      </w:r>
      <w:r w:rsidR="00617AD7" w:rsidRPr="00E52611">
        <w:t>auses</w:t>
      </w:r>
      <w:r w:rsidR="00E327FB" w:rsidRPr="00E52611">
        <w:t xml:space="preserve"> protect</w:t>
      </w:r>
      <w:r w:rsidR="00154B35" w:rsidRPr="00E52611">
        <w:t xml:space="preserve"> </w:t>
      </w:r>
      <w:r w:rsidR="008277CA" w:rsidRPr="00E52611">
        <w:t xml:space="preserve">corporations </w:t>
      </w:r>
      <w:r w:rsidR="00154B35" w:rsidRPr="00E52611">
        <w:t>or assumed so</w:t>
      </w:r>
      <w:r w:rsidR="008F7460" w:rsidRPr="00E52611">
        <w:t xml:space="preserve">. </w:t>
      </w:r>
      <w:r w:rsidR="00D57F00" w:rsidRPr="00E52611">
        <w:rPr>
          <w:i/>
        </w:rPr>
        <w:t xml:space="preserve">See </w:t>
      </w:r>
      <w:r w:rsidR="008277CA" w:rsidRPr="00E52611">
        <w:rPr>
          <w:i/>
        </w:rPr>
        <w:t>Con</w:t>
      </w:r>
      <w:r w:rsidR="00F60A49" w:rsidRPr="00E52611">
        <w:rPr>
          <w:i/>
        </w:rPr>
        <w:t>. Ed.</w:t>
      </w:r>
      <w:r w:rsidR="008277CA" w:rsidRPr="00E52611">
        <w:t xml:space="preserve">, </w:t>
      </w:r>
      <w:r w:rsidR="00DF0559" w:rsidRPr="00E52611">
        <w:fldChar w:fldCharType="begin"/>
      </w:r>
      <w:r w:rsidR="00E52611" w:rsidRPr="00E52611">
        <w:instrText xml:space="preserve"> ADDIN BA \xc &lt;@oppt&gt; \xl 15 \s QOQUYW000080 \l "292 F.3d at 329" </w:instrText>
      </w:r>
      <w:r w:rsidR="00DF0559" w:rsidRPr="00E52611">
        <w:fldChar w:fldCharType="end"/>
      </w:r>
      <w:bookmarkStart w:id="58" w:name="_BA_Cite_174"/>
      <w:r w:rsidR="00BA1F50" w:rsidRPr="00E52611">
        <w:t xml:space="preserve">292 F.3d </w:t>
      </w:r>
      <w:r w:rsidR="00E6125B" w:rsidRPr="00E52611">
        <w:t>at 329</w:t>
      </w:r>
      <w:bookmarkEnd w:id="58"/>
      <w:r w:rsidR="00E6125B" w:rsidRPr="00E52611">
        <w:t xml:space="preserve"> </w:t>
      </w:r>
      <w:r w:rsidR="00D57F00" w:rsidRPr="00E52611">
        <w:t>(hold</w:t>
      </w:r>
      <w:r w:rsidR="00E327FB" w:rsidRPr="00E52611">
        <w:t xml:space="preserve">ing that the </w:t>
      </w:r>
      <w:r w:rsidR="00FF2F8D" w:rsidRPr="00E52611">
        <w:t>C</w:t>
      </w:r>
      <w:r w:rsidR="008B6620" w:rsidRPr="00E52611">
        <w:t>lauses apply</w:t>
      </w:r>
      <w:r w:rsidR="00D57F00" w:rsidRPr="00E52611">
        <w:t xml:space="preserve"> to corporations); </w:t>
      </w:r>
      <w:r w:rsidR="00152A05" w:rsidRPr="00E52611">
        <w:rPr>
          <w:i/>
        </w:rPr>
        <w:t xml:space="preserve">See also, e.g., </w:t>
      </w:r>
      <w:r w:rsidR="00DF0559" w:rsidRPr="00E52611">
        <w:fldChar w:fldCharType="begin"/>
      </w:r>
      <w:r w:rsidR="00E52611" w:rsidRPr="00E52611">
        <w:instrText xml:space="preserve"> ADDIN BA \xc &lt;@cs&gt; \xl 59 \s QOQUYW000021 \xhfl Rep \l "</w:instrText>
      </w:r>
      <w:r w:rsidR="00E52611" w:rsidRPr="00E52611">
        <w:rPr>
          <w:rFonts w:eastAsia="Times New Roman"/>
          <w:i/>
          <w:iCs/>
          <w:lang w:eastAsia="en-US"/>
        </w:rPr>
        <w:instrText>Club Misty, Inc. v. Laski</w:instrText>
      </w:r>
      <w:r w:rsidR="00E52611" w:rsidRPr="00E52611">
        <w:rPr>
          <w:rFonts w:eastAsia="Times New Roman"/>
          <w:iCs/>
          <w:lang w:eastAsia="en-US"/>
        </w:rPr>
        <w:instrText>,&lt;SoftRt&gt;</w:instrText>
      </w:r>
      <w:r w:rsidR="00E52611" w:rsidRPr="00E52611">
        <w:rPr>
          <w:rFonts w:eastAsia="Times New Roman"/>
          <w:lang w:eastAsia="en-US"/>
        </w:rPr>
        <w:instrText xml:space="preserve"> 208 F.3d 615 (7th Cir.2000)</w:instrText>
      </w:r>
      <w:r w:rsidR="00E52611" w:rsidRPr="00E52611">
        <w:instrText xml:space="preserve">" </w:instrText>
      </w:r>
      <w:r w:rsidR="00DF0559" w:rsidRPr="00E52611">
        <w:fldChar w:fldCharType="end"/>
      </w:r>
      <w:bookmarkStart w:id="59" w:name="_BA_Cite_175"/>
      <w:r w:rsidR="008277CA" w:rsidRPr="00E52611">
        <w:rPr>
          <w:rFonts w:eastAsia="Times New Roman"/>
          <w:i/>
          <w:iCs/>
          <w:lang w:eastAsia="en-US"/>
        </w:rPr>
        <w:t>Club Misty, Inc. v. Laski</w:t>
      </w:r>
      <w:r w:rsidR="008277CA" w:rsidRPr="00E52611">
        <w:rPr>
          <w:rFonts w:eastAsia="Times New Roman"/>
          <w:iCs/>
          <w:lang w:eastAsia="en-US"/>
        </w:rPr>
        <w:t>,</w:t>
      </w:r>
      <w:r w:rsidR="008277CA" w:rsidRPr="00E52611">
        <w:rPr>
          <w:rFonts w:eastAsia="Times New Roman"/>
          <w:lang w:eastAsia="en-US"/>
        </w:rPr>
        <w:t xml:space="preserve"> 208 F.3d 615, 617 (7th Cir.2000)</w:t>
      </w:r>
      <w:bookmarkEnd w:id="59"/>
      <w:r w:rsidR="00D57F00" w:rsidRPr="00E52611">
        <w:rPr>
          <w:rFonts w:eastAsia="Times New Roman"/>
          <w:lang w:eastAsia="en-US"/>
        </w:rPr>
        <w:t xml:space="preserve"> (assuming</w:t>
      </w:r>
      <w:r w:rsidR="001D0904" w:rsidRPr="00E52611">
        <w:rPr>
          <w:rFonts w:eastAsia="Times New Roman"/>
          <w:lang w:eastAsia="en-US"/>
        </w:rPr>
        <w:t xml:space="preserve"> without deciding</w:t>
      </w:r>
      <w:r w:rsidR="00D57F00" w:rsidRPr="00E52611">
        <w:rPr>
          <w:rFonts w:eastAsia="Times New Roman"/>
          <w:lang w:eastAsia="en-US"/>
        </w:rPr>
        <w:t xml:space="preserve"> that the </w:t>
      </w:r>
      <w:r w:rsidR="00FF2F8D" w:rsidRPr="00E52611">
        <w:rPr>
          <w:rFonts w:eastAsia="Times New Roman"/>
          <w:lang w:eastAsia="en-US"/>
        </w:rPr>
        <w:t>C</w:t>
      </w:r>
      <w:r w:rsidR="008B6620" w:rsidRPr="00E52611">
        <w:rPr>
          <w:rFonts w:eastAsia="Times New Roman"/>
          <w:lang w:eastAsia="en-US"/>
        </w:rPr>
        <w:t>lauses</w:t>
      </w:r>
      <w:r w:rsidR="00E327FB" w:rsidRPr="00E52611">
        <w:rPr>
          <w:rFonts w:eastAsia="Times New Roman"/>
          <w:lang w:eastAsia="en-US"/>
        </w:rPr>
        <w:t xml:space="preserve"> apply</w:t>
      </w:r>
      <w:r w:rsidR="00D57F00" w:rsidRPr="00E52611">
        <w:rPr>
          <w:rFonts w:eastAsia="Times New Roman"/>
          <w:lang w:eastAsia="en-US"/>
        </w:rPr>
        <w:t xml:space="preserve"> to corporations)</w:t>
      </w:r>
      <w:r w:rsidR="008277CA" w:rsidRPr="00E52611">
        <w:rPr>
          <w:rFonts w:eastAsia="Times New Roman"/>
          <w:lang w:eastAsia="en-US"/>
        </w:rPr>
        <w:t xml:space="preserve">; </w:t>
      </w:r>
      <w:r w:rsidR="00DF0559" w:rsidRPr="00E52611">
        <w:fldChar w:fldCharType="begin"/>
      </w:r>
      <w:r w:rsidR="00E52611" w:rsidRPr="00E52611">
        <w:instrText xml:space="preserve"> ADDIN BA \xc &lt;@cs&gt; \xl 68 \s QOQUYW000022 \xhfl Rep \l "</w:instrText>
      </w:r>
      <w:r w:rsidR="00E52611" w:rsidRPr="00E52611">
        <w:rPr>
          <w:rFonts w:eastAsia="Times New Roman"/>
          <w:i/>
          <w:iCs/>
          <w:lang w:eastAsia="en-US"/>
        </w:rPr>
        <w:instrText>Navegar, Inc. v. United States</w:instrText>
      </w:r>
      <w:r w:rsidR="00E52611" w:rsidRPr="00E52611">
        <w:rPr>
          <w:rFonts w:eastAsia="Times New Roman"/>
          <w:iCs/>
          <w:lang w:eastAsia="en-US"/>
        </w:rPr>
        <w:instrText xml:space="preserve">,&lt;SoftRt&gt; </w:instrText>
      </w:r>
      <w:r w:rsidR="00E52611" w:rsidRPr="00E52611">
        <w:rPr>
          <w:rFonts w:eastAsia="Times New Roman"/>
          <w:lang w:eastAsia="en-US"/>
        </w:rPr>
        <w:instrText>192 F.3d 1050 (D.C. Cir. 1999)</w:instrText>
      </w:r>
      <w:r w:rsidR="00E52611" w:rsidRPr="00E52611">
        <w:instrText xml:space="preserve">" </w:instrText>
      </w:r>
      <w:r w:rsidR="00DF0559" w:rsidRPr="00E52611">
        <w:fldChar w:fldCharType="end"/>
      </w:r>
      <w:bookmarkStart w:id="60" w:name="_BA_Cite_176"/>
      <w:r w:rsidR="008277CA" w:rsidRPr="00E52611">
        <w:rPr>
          <w:rFonts w:eastAsia="Times New Roman"/>
          <w:i/>
          <w:iCs/>
          <w:lang w:eastAsia="en-US"/>
        </w:rPr>
        <w:t>Navegar, Inc. v. United States</w:t>
      </w:r>
      <w:r w:rsidR="008277CA" w:rsidRPr="00E52611">
        <w:rPr>
          <w:rFonts w:eastAsia="Times New Roman"/>
          <w:iCs/>
          <w:lang w:eastAsia="en-US"/>
        </w:rPr>
        <w:t xml:space="preserve">, </w:t>
      </w:r>
      <w:r w:rsidR="008277CA" w:rsidRPr="00E52611">
        <w:rPr>
          <w:rFonts w:eastAsia="Times New Roman"/>
          <w:lang w:eastAsia="en-US"/>
        </w:rPr>
        <w:t>192 F.3d 1050, 1065 (D.C.</w:t>
      </w:r>
      <w:r w:rsidR="001E3504" w:rsidRPr="00E52611">
        <w:rPr>
          <w:rFonts w:eastAsia="Times New Roman"/>
          <w:lang w:eastAsia="en-US"/>
        </w:rPr>
        <w:t xml:space="preserve"> </w:t>
      </w:r>
      <w:r w:rsidR="008277CA" w:rsidRPr="00E52611">
        <w:rPr>
          <w:rFonts w:eastAsia="Times New Roman"/>
          <w:lang w:eastAsia="en-US"/>
        </w:rPr>
        <w:t>Cir.</w:t>
      </w:r>
      <w:r w:rsidR="001E3504" w:rsidRPr="00E52611">
        <w:rPr>
          <w:rFonts w:eastAsia="Times New Roman"/>
          <w:lang w:eastAsia="en-US"/>
        </w:rPr>
        <w:t xml:space="preserve"> </w:t>
      </w:r>
      <w:r w:rsidR="008277CA" w:rsidRPr="00E52611">
        <w:rPr>
          <w:rFonts w:eastAsia="Times New Roman"/>
          <w:lang w:eastAsia="en-US"/>
        </w:rPr>
        <w:t>1999)</w:t>
      </w:r>
      <w:bookmarkEnd w:id="60"/>
      <w:r w:rsidR="00E327FB" w:rsidRPr="00E52611">
        <w:rPr>
          <w:rFonts w:eastAsia="Times New Roman"/>
          <w:lang w:eastAsia="en-US"/>
        </w:rPr>
        <w:t xml:space="preserve"> </w:t>
      </w:r>
      <w:r w:rsidR="00D57F00" w:rsidRPr="00E52611">
        <w:rPr>
          <w:rFonts w:eastAsia="Times New Roman"/>
          <w:lang w:eastAsia="en-US"/>
        </w:rPr>
        <w:t>(same)</w:t>
      </w:r>
      <w:r w:rsidR="008277CA" w:rsidRPr="00E52611">
        <w:rPr>
          <w:rFonts w:eastAsia="Times New Roman"/>
          <w:lang w:eastAsia="en-US"/>
        </w:rPr>
        <w:t xml:space="preserve">; </w:t>
      </w:r>
      <w:r w:rsidR="00DF0559" w:rsidRPr="00E52611">
        <w:fldChar w:fldCharType="begin"/>
      </w:r>
      <w:r w:rsidR="00E52611" w:rsidRPr="00E52611">
        <w:instrText xml:space="preserve"> ADDIN BA \xc &lt;@cs&gt; \xl 59 \s QOQUYW000023 \xhfl Rep \l "</w:instrText>
      </w:r>
      <w:r w:rsidR="00E52611" w:rsidRPr="00E52611">
        <w:rPr>
          <w:rFonts w:eastAsia="Times New Roman"/>
          <w:i/>
          <w:iCs/>
          <w:lang w:eastAsia="en-US"/>
        </w:rPr>
        <w:instrText>SBC Commc’ns, Inc. v. FCC</w:instrText>
      </w:r>
      <w:r w:rsidR="00E52611" w:rsidRPr="00E52611">
        <w:rPr>
          <w:rFonts w:eastAsia="Times New Roman"/>
          <w:iCs/>
          <w:lang w:eastAsia="en-US"/>
        </w:rPr>
        <w:instrText>,&lt;SoftRt&gt;</w:instrText>
      </w:r>
      <w:r w:rsidR="00E52611" w:rsidRPr="00E52611">
        <w:rPr>
          <w:rFonts w:eastAsia="Times New Roman"/>
          <w:lang w:eastAsia="en-US"/>
        </w:rPr>
        <w:instrText xml:space="preserve"> 154 F.3d 226 (5th Cir.1998)</w:instrText>
      </w:r>
      <w:r w:rsidR="00E52611" w:rsidRPr="00E52611">
        <w:instrText xml:space="preserve">" </w:instrText>
      </w:r>
      <w:r w:rsidR="00DF0559" w:rsidRPr="00E52611">
        <w:fldChar w:fldCharType="end"/>
      </w:r>
      <w:bookmarkStart w:id="61" w:name="_BA_Cite_177"/>
      <w:r w:rsidR="006717EE" w:rsidRPr="00E52611">
        <w:rPr>
          <w:rFonts w:eastAsia="Times New Roman"/>
          <w:i/>
          <w:iCs/>
          <w:lang w:eastAsia="en-US"/>
        </w:rPr>
        <w:t>SBC Co</w:t>
      </w:r>
      <w:r w:rsidR="00E327FB" w:rsidRPr="00E52611">
        <w:rPr>
          <w:rFonts w:eastAsia="Times New Roman"/>
          <w:i/>
          <w:iCs/>
          <w:lang w:eastAsia="en-US"/>
        </w:rPr>
        <w:t>mmc’ns</w:t>
      </w:r>
      <w:r w:rsidR="006717EE" w:rsidRPr="00E52611">
        <w:rPr>
          <w:rFonts w:eastAsia="Times New Roman"/>
          <w:i/>
          <w:iCs/>
          <w:lang w:eastAsia="en-US"/>
        </w:rPr>
        <w:t>, Inc. v. FCC</w:t>
      </w:r>
      <w:r w:rsidR="006717EE" w:rsidRPr="00E52611">
        <w:rPr>
          <w:rFonts w:eastAsia="Times New Roman"/>
          <w:iCs/>
          <w:lang w:eastAsia="en-US"/>
        </w:rPr>
        <w:t>,</w:t>
      </w:r>
      <w:r w:rsidR="00E327FB" w:rsidRPr="00E52611">
        <w:rPr>
          <w:rFonts w:eastAsia="Times New Roman"/>
          <w:lang w:eastAsia="en-US"/>
        </w:rPr>
        <w:t xml:space="preserve"> 154 F.3d 226, 234 </w:t>
      </w:r>
      <w:r w:rsidR="006717EE" w:rsidRPr="00E52611">
        <w:rPr>
          <w:rFonts w:eastAsia="Times New Roman"/>
          <w:lang w:eastAsia="en-US"/>
        </w:rPr>
        <w:t>(5th Cir.1998)</w:t>
      </w:r>
      <w:bookmarkEnd w:id="61"/>
      <w:r w:rsidR="006E47D0" w:rsidRPr="00E52611">
        <w:rPr>
          <w:rFonts w:eastAsia="Times New Roman"/>
          <w:lang w:eastAsia="en-US"/>
        </w:rPr>
        <w:t xml:space="preserve"> </w:t>
      </w:r>
      <w:r w:rsidR="006717EE" w:rsidRPr="00E52611">
        <w:rPr>
          <w:rFonts w:eastAsia="Times New Roman"/>
          <w:lang w:eastAsia="en-US"/>
        </w:rPr>
        <w:t xml:space="preserve">(same); </w:t>
      </w:r>
      <w:r w:rsidR="00DF0559" w:rsidRPr="00E52611">
        <w:fldChar w:fldCharType="begin"/>
      </w:r>
      <w:r w:rsidR="00E52611" w:rsidRPr="00E52611">
        <w:instrText xml:space="preserve"> ADDIN BA \xc &lt;@cs&gt; \xl 79 \s QOQUYW000024 \xhfl Rep \l "</w:instrText>
      </w:r>
      <w:r w:rsidR="00E52611" w:rsidRPr="00E52611">
        <w:rPr>
          <w:rFonts w:eastAsia="Times New Roman"/>
          <w:i/>
          <w:lang w:eastAsia="en-US"/>
        </w:rPr>
        <w:instrText>SeaRiver Mar. Fin. Holdings, Inc., v. Mineta</w:instrText>
      </w:r>
      <w:r w:rsidR="00E52611" w:rsidRPr="00E52611">
        <w:rPr>
          <w:rFonts w:eastAsia="Times New Roman"/>
          <w:lang w:eastAsia="en-US"/>
        </w:rPr>
        <w:instrText>,&lt;SoftRt&gt; 309 F.3d 662 (9th Cir. 2002)</w:instrText>
      </w:r>
      <w:r w:rsidR="00E52611" w:rsidRPr="00E52611">
        <w:instrText xml:space="preserve">" </w:instrText>
      </w:r>
      <w:r w:rsidR="00DF0559" w:rsidRPr="00E52611">
        <w:fldChar w:fldCharType="end"/>
      </w:r>
      <w:bookmarkStart w:id="62" w:name="_BA_Cite_178"/>
      <w:r w:rsidR="0049260B" w:rsidRPr="00E52611">
        <w:rPr>
          <w:rFonts w:eastAsia="Times New Roman"/>
          <w:i/>
          <w:lang w:eastAsia="en-US"/>
        </w:rPr>
        <w:t>SeaRiver</w:t>
      </w:r>
      <w:r w:rsidR="004B7D76" w:rsidRPr="00E52611">
        <w:rPr>
          <w:rFonts w:eastAsia="Times New Roman"/>
          <w:i/>
          <w:lang w:eastAsia="en-US"/>
        </w:rPr>
        <w:t xml:space="preserve"> Mar.</w:t>
      </w:r>
      <w:r w:rsidR="0049260B" w:rsidRPr="00E52611">
        <w:rPr>
          <w:rFonts w:eastAsia="Times New Roman"/>
          <w:i/>
          <w:lang w:eastAsia="en-US"/>
        </w:rPr>
        <w:t xml:space="preserve"> Fin. Holdings, Inc., v. Mineta</w:t>
      </w:r>
      <w:r w:rsidR="00F81864" w:rsidRPr="00E52611">
        <w:rPr>
          <w:rFonts w:eastAsia="Times New Roman"/>
          <w:lang w:eastAsia="en-US"/>
        </w:rPr>
        <w:t xml:space="preserve">, 309 F.3d </w:t>
      </w:r>
      <w:r w:rsidR="0049260B" w:rsidRPr="00E52611">
        <w:rPr>
          <w:rFonts w:eastAsia="Times New Roman"/>
          <w:lang w:eastAsia="en-US"/>
        </w:rPr>
        <w:t>662, 668 (9th Cir. 2002)</w:t>
      </w:r>
      <w:bookmarkEnd w:id="62"/>
      <w:r w:rsidR="00636FA9" w:rsidRPr="00E52611">
        <w:rPr>
          <w:rFonts w:eastAsia="Times New Roman"/>
          <w:lang w:eastAsia="en-US"/>
        </w:rPr>
        <w:t xml:space="preserve"> (same)</w:t>
      </w:r>
      <w:r w:rsidR="0049260B" w:rsidRPr="00E52611">
        <w:rPr>
          <w:rFonts w:eastAsia="Times New Roman"/>
          <w:lang w:eastAsia="en-US"/>
        </w:rPr>
        <w:t xml:space="preserve">. </w:t>
      </w:r>
    </w:p>
    <w:p w:rsidR="00A64371" w:rsidRPr="00E52611" w:rsidRDefault="00036EAC" w:rsidP="0005490F">
      <w:pPr>
        <w:pStyle w:val="Heading3"/>
        <w:numPr>
          <w:ilvl w:val="0"/>
          <w:numId w:val="11"/>
        </w:numPr>
        <w:ind w:left="1440" w:hanging="720"/>
        <w:rPr>
          <w:lang w:eastAsia="en-US"/>
        </w:rPr>
      </w:pPr>
      <w:bookmarkStart w:id="63" w:name="_Toc190667445"/>
      <w:r w:rsidRPr="00E52611">
        <w:rPr>
          <w:lang w:eastAsia="en-US"/>
        </w:rPr>
        <w:t xml:space="preserve">The History and Purpose behind </w:t>
      </w:r>
      <w:r w:rsidR="00717BC6" w:rsidRPr="00E52611">
        <w:rPr>
          <w:lang w:eastAsia="en-US"/>
        </w:rPr>
        <w:t xml:space="preserve">the Bill of </w:t>
      </w:r>
      <w:r w:rsidR="00DF0559" w:rsidRPr="00E52611">
        <w:fldChar w:fldCharType="begin"/>
      </w:r>
      <w:r w:rsidR="00E52611" w:rsidRPr="00E52611">
        <w:instrText xml:space="preserve"> ADDIN BA \xc &lt;@$osdv&gt; \xl 17 \s QOQUYW000074 </w:instrText>
      </w:r>
      <w:r w:rsidR="00DF0559" w:rsidRPr="00E52611">
        <w:fldChar w:fldCharType="end"/>
      </w:r>
      <w:r w:rsidR="00717BC6" w:rsidRPr="00E52611">
        <w:rPr>
          <w:lang w:eastAsia="en-US"/>
        </w:rPr>
        <w:t>Attainder Clauses</w:t>
      </w:r>
      <w:r w:rsidRPr="00E52611">
        <w:rPr>
          <w:lang w:eastAsia="en-US"/>
        </w:rPr>
        <w:t xml:space="preserve"> Support Applying the Clause</w:t>
      </w:r>
      <w:r w:rsidR="00DA03B3" w:rsidRPr="00E52611">
        <w:rPr>
          <w:lang w:eastAsia="en-US"/>
        </w:rPr>
        <w:t>s</w:t>
      </w:r>
      <w:r w:rsidRPr="00E52611">
        <w:rPr>
          <w:lang w:eastAsia="en-US"/>
        </w:rPr>
        <w:t xml:space="preserve"> to Corporations</w:t>
      </w:r>
      <w:bookmarkEnd w:id="63"/>
      <w:r w:rsidRPr="00E52611">
        <w:rPr>
          <w:lang w:eastAsia="en-US"/>
        </w:rPr>
        <w:t xml:space="preserve">  </w:t>
      </w:r>
    </w:p>
    <w:p w:rsidR="006E6E61" w:rsidRPr="00E52611" w:rsidRDefault="006E6E61" w:rsidP="006E6E61">
      <w:pPr>
        <w:rPr>
          <w:lang w:eastAsia="en-US"/>
        </w:rPr>
      </w:pPr>
    </w:p>
    <w:p w:rsidR="00037E6D" w:rsidRPr="00E52611" w:rsidRDefault="00B61CF8" w:rsidP="006E6E61">
      <w:pPr>
        <w:spacing w:line="480" w:lineRule="auto"/>
      </w:pPr>
      <w:r w:rsidRPr="00E52611">
        <w:tab/>
      </w:r>
      <w:r w:rsidR="006717EE" w:rsidRPr="00E52611">
        <w:t xml:space="preserve">A corporation is “an artificial being, </w:t>
      </w:r>
      <w:r w:rsidR="00DC4EE2" w:rsidRPr="00E52611">
        <w:t>invisible, intangible, and existi</w:t>
      </w:r>
      <w:r w:rsidR="007C1E90" w:rsidRPr="00E52611">
        <w:t xml:space="preserve">ng only in contemplation of law.” </w:t>
      </w:r>
      <w:r w:rsidR="00DF0559" w:rsidRPr="00E52611">
        <w:fldChar w:fldCharType="begin"/>
      </w:r>
      <w:r w:rsidR="00E52611" w:rsidRPr="00E52611">
        <w:instrText xml:space="preserve"> ADDIN BA \xc &lt;@cs&gt; \xl 52 \s QOQUYW000025 \xhfl Rep \l "</w:instrText>
      </w:r>
      <w:r w:rsidR="00E52611" w:rsidRPr="00E52611">
        <w:rPr>
          <w:i/>
        </w:rPr>
        <w:instrText>Dartmouth Coll. v. Woodward</w:instrText>
      </w:r>
      <w:r w:rsidR="00E52611" w:rsidRPr="00E52611">
        <w:instrText xml:space="preserve">,&lt;SoftRt&gt; 17 U.S. 518 (1819)" </w:instrText>
      </w:r>
      <w:r w:rsidR="00DF0559" w:rsidRPr="00E52611">
        <w:fldChar w:fldCharType="end"/>
      </w:r>
      <w:bookmarkStart w:id="64" w:name="_BA_Cite_179"/>
      <w:r w:rsidR="00F81864" w:rsidRPr="00E52611">
        <w:rPr>
          <w:i/>
        </w:rPr>
        <w:t>Dartmouth Coll.</w:t>
      </w:r>
      <w:r w:rsidR="006717EE" w:rsidRPr="00E52611">
        <w:rPr>
          <w:i/>
        </w:rPr>
        <w:t xml:space="preserve"> v. Woodward</w:t>
      </w:r>
      <w:r w:rsidR="00532E9D" w:rsidRPr="00E52611">
        <w:t xml:space="preserve">, 17 U.S. </w:t>
      </w:r>
      <w:r w:rsidR="006717EE" w:rsidRPr="00E52611">
        <w:t>518, 636 (1819)</w:t>
      </w:r>
      <w:bookmarkEnd w:id="64"/>
      <w:r w:rsidR="00037E6D" w:rsidRPr="00E52611">
        <w:t>.</w:t>
      </w:r>
      <w:r w:rsidR="006717EE" w:rsidRPr="00E52611">
        <w:t xml:space="preserve"> </w:t>
      </w:r>
      <w:r w:rsidR="007C1E90" w:rsidRPr="00E52611">
        <w:t>However, states are not free to “</w:t>
      </w:r>
      <w:r w:rsidR="007C1E90" w:rsidRPr="00E52611">
        <w:rPr>
          <w:rFonts w:eastAsia="Times New Roman"/>
          <w:lang w:eastAsia="en-US"/>
        </w:rPr>
        <w:t xml:space="preserve">define the rights of their creatures without constitutional limit.” </w:t>
      </w:r>
      <w:r w:rsidR="00DF0559" w:rsidRPr="00E52611">
        <w:fldChar w:fldCharType="begin"/>
      </w:r>
      <w:r w:rsidR="00E52611" w:rsidRPr="00E52611">
        <w:instrText xml:space="preserve"> ADDIN BA \xc &lt;@cs&gt; \xl 64 \s QOQUYW000026 \xhfl Rep \l "</w:instrText>
      </w:r>
      <w:r w:rsidR="00E52611" w:rsidRPr="00E52611">
        <w:rPr>
          <w:rFonts w:eastAsia="Times New Roman"/>
          <w:i/>
          <w:lang w:eastAsia="en-US"/>
        </w:rPr>
        <w:instrText>First Nat’l Bank of Boston v. Bellotti</w:instrText>
      </w:r>
      <w:r w:rsidR="00E52611" w:rsidRPr="00E52611">
        <w:rPr>
          <w:rFonts w:eastAsia="Times New Roman"/>
          <w:lang w:eastAsia="en-US"/>
        </w:rPr>
        <w:instrText>,&lt;SoftRt&gt; 435 U.S. 765 (1978)</w:instrText>
      </w:r>
      <w:r w:rsidR="00E52611" w:rsidRPr="00E52611">
        <w:instrText xml:space="preserve">" </w:instrText>
      </w:r>
      <w:r w:rsidR="00DF0559" w:rsidRPr="00E52611">
        <w:fldChar w:fldCharType="end"/>
      </w:r>
      <w:bookmarkStart w:id="65" w:name="_BA_Cite_180"/>
      <w:r w:rsidR="004B7D76" w:rsidRPr="00E52611">
        <w:rPr>
          <w:rFonts w:eastAsia="Times New Roman"/>
          <w:i/>
          <w:lang w:eastAsia="en-US"/>
        </w:rPr>
        <w:t>First Nat’l</w:t>
      </w:r>
      <w:r w:rsidR="007C1E90" w:rsidRPr="00E52611">
        <w:rPr>
          <w:rFonts w:eastAsia="Times New Roman"/>
          <w:i/>
          <w:lang w:eastAsia="en-US"/>
        </w:rPr>
        <w:t xml:space="preserve"> Bank of Boston v. Bellotti</w:t>
      </w:r>
      <w:r w:rsidR="007C1E90" w:rsidRPr="00E52611">
        <w:rPr>
          <w:rFonts w:eastAsia="Times New Roman"/>
          <w:lang w:eastAsia="en-US"/>
        </w:rPr>
        <w:t>, 435 U.S. 765, 778 (1978)</w:t>
      </w:r>
      <w:bookmarkEnd w:id="65"/>
      <w:r w:rsidR="007C1E90" w:rsidRPr="00E52611">
        <w:rPr>
          <w:rFonts w:eastAsia="Times New Roman"/>
          <w:lang w:eastAsia="en-US"/>
        </w:rPr>
        <w:t>.</w:t>
      </w:r>
      <w:r w:rsidR="007C1E90" w:rsidRPr="00E52611">
        <w:t xml:space="preserve"> </w:t>
      </w:r>
      <w:r w:rsidR="00D51F6D" w:rsidRPr="00E52611">
        <w:t>As such, c</w:t>
      </w:r>
      <w:r w:rsidR="00E50E74" w:rsidRPr="00E52611">
        <w:t xml:space="preserve">orporations </w:t>
      </w:r>
      <w:r w:rsidR="00E7771E" w:rsidRPr="00E52611">
        <w:t xml:space="preserve">enjoy many </w:t>
      </w:r>
      <w:r w:rsidR="006717EE" w:rsidRPr="00E52611">
        <w:t>constitutional rights.</w:t>
      </w:r>
      <w:r w:rsidR="00810F4A" w:rsidRPr="00E52611">
        <w:t xml:space="preserve"> </w:t>
      </w:r>
      <w:r w:rsidR="00AA40D3" w:rsidRPr="00E52611">
        <w:rPr>
          <w:i/>
        </w:rPr>
        <w:t xml:space="preserve">See </w:t>
      </w:r>
      <w:r w:rsidR="00DF0559" w:rsidRPr="00E52611">
        <w:lastRenderedPageBreak/>
        <w:fldChar w:fldCharType="begin"/>
      </w:r>
      <w:r w:rsidR="00E52611" w:rsidRPr="00E52611">
        <w:instrText xml:space="preserve"> ADDIN BA \xc &lt;@cs&gt; \xl 45 \s QOQUYW000027 \xhfl Rep \l "</w:instrText>
      </w:r>
      <w:r w:rsidR="00E52611" w:rsidRPr="00E52611">
        <w:rPr>
          <w:i/>
          <w:iCs/>
        </w:rPr>
        <w:instrText>Citizens United v. FEC</w:instrText>
      </w:r>
      <w:r w:rsidR="00E52611" w:rsidRPr="00E52611">
        <w:rPr>
          <w:iCs/>
        </w:rPr>
        <w:instrText xml:space="preserve">,&lt;SoftRt&gt; </w:instrText>
      </w:r>
      <w:r w:rsidR="00E52611" w:rsidRPr="00E52611">
        <w:rPr>
          <w:bCs/>
          <w:iCs/>
        </w:rPr>
        <w:instrText>130 S. Ct. 876 (2010)</w:instrText>
      </w:r>
      <w:r w:rsidR="00E52611" w:rsidRPr="00E52611">
        <w:instrText xml:space="preserve">" </w:instrText>
      </w:r>
      <w:r w:rsidR="00DF0559" w:rsidRPr="00E52611">
        <w:fldChar w:fldCharType="end"/>
      </w:r>
      <w:bookmarkStart w:id="66" w:name="_BA_Cite_181"/>
      <w:r w:rsidR="00AA40D3" w:rsidRPr="00E52611">
        <w:rPr>
          <w:i/>
          <w:iCs/>
        </w:rPr>
        <w:t>Citizens United v. FEC</w:t>
      </w:r>
      <w:r w:rsidR="00AA40D3" w:rsidRPr="00E52611">
        <w:rPr>
          <w:iCs/>
        </w:rPr>
        <w:t xml:space="preserve">, </w:t>
      </w:r>
      <w:r w:rsidR="00AA40D3" w:rsidRPr="00E52611">
        <w:rPr>
          <w:bCs/>
          <w:iCs/>
        </w:rPr>
        <w:t>130 S.</w:t>
      </w:r>
      <w:r w:rsidR="00FF2F8D" w:rsidRPr="00E52611">
        <w:rPr>
          <w:bCs/>
          <w:iCs/>
        </w:rPr>
        <w:t xml:space="preserve"> </w:t>
      </w:r>
      <w:r w:rsidR="00AA40D3" w:rsidRPr="00E52611">
        <w:rPr>
          <w:bCs/>
          <w:iCs/>
        </w:rPr>
        <w:t>Ct. 876 (2010)</w:t>
      </w:r>
      <w:bookmarkEnd w:id="66"/>
      <w:r w:rsidR="00AA40D3" w:rsidRPr="00E52611">
        <w:rPr>
          <w:bCs/>
          <w:iCs/>
        </w:rPr>
        <w:t xml:space="preserve"> (freedom of speech); </w:t>
      </w:r>
      <w:r w:rsidR="00DF0559" w:rsidRPr="00E52611">
        <w:fldChar w:fldCharType="begin"/>
      </w:r>
      <w:r w:rsidR="00E52611" w:rsidRPr="00E52611">
        <w:instrText xml:space="preserve"> ADDIN BA \xc &lt;@cs&gt; \xl 77 \s QOQUYW000028 \xhfl Rep \l "</w:instrText>
      </w:r>
      <w:r w:rsidR="00E52611" w:rsidRPr="00E52611">
        <w:rPr>
          <w:i/>
        </w:rPr>
        <w:instrText>Helicopteros Nacionales de Colom., S.A. v. Hall</w:instrText>
      </w:r>
      <w:r w:rsidR="00E52611" w:rsidRPr="00E52611">
        <w:instrText xml:space="preserve">,&lt;SoftRt&gt; 466 U.S. 408 (1984)" </w:instrText>
      </w:r>
      <w:r w:rsidR="00DF0559" w:rsidRPr="00E52611">
        <w:fldChar w:fldCharType="end"/>
      </w:r>
      <w:bookmarkStart w:id="67" w:name="_BA_Cite_182"/>
      <w:r w:rsidR="004B7D76" w:rsidRPr="00E52611">
        <w:rPr>
          <w:i/>
        </w:rPr>
        <w:t>Helicopteros Nac</w:t>
      </w:r>
      <w:r w:rsidR="00A87477" w:rsidRPr="00E52611">
        <w:rPr>
          <w:i/>
        </w:rPr>
        <w:t>ionales de Colom., S.A. v. Hall</w:t>
      </w:r>
      <w:r w:rsidR="00A87477" w:rsidRPr="00E52611">
        <w:t>, 466 U.S. 408, 413-419 (1984)</w:t>
      </w:r>
      <w:bookmarkEnd w:id="67"/>
      <w:r w:rsidR="00A87477" w:rsidRPr="00E52611">
        <w:t xml:space="preserve"> (due process); </w:t>
      </w:r>
      <w:r w:rsidR="00DF0559" w:rsidRPr="00E52611">
        <w:fldChar w:fldCharType="begin"/>
      </w:r>
      <w:r w:rsidR="00E52611" w:rsidRPr="00E52611">
        <w:instrText xml:space="preserve"> ADDIN BA \xc &lt;@cs&gt; \xl 59 \s QOQUYW000029 \xhfl Rep \l "</w:instrText>
      </w:r>
      <w:r w:rsidR="00E52611" w:rsidRPr="00E52611">
        <w:rPr>
          <w:i/>
          <w:iCs/>
        </w:rPr>
        <w:instrText>Metro. Life Ins. Co. v. Ward</w:instrText>
      </w:r>
      <w:r w:rsidR="00E52611" w:rsidRPr="00E52611">
        <w:rPr>
          <w:iCs/>
        </w:rPr>
        <w:instrText>,&lt;SoftRt&gt;</w:instrText>
      </w:r>
      <w:r w:rsidR="00E52611" w:rsidRPr="00E52611">
        <w:instrText xml:space="preserve"> 470 U.S. 869 (1985)" </w:instrText>
      </w:r>
      <w:r w:rsidR="00DF0559" w:rsidRPr="00E52611">
        <w:fldChar w:fldCharType="end"/>
      </w:r>
      <w:bookmarkStart w:id="68" w:name="_BA_Cite_183"/>
      <w:r w:rsidR="00161D8C" w:rsidRPr="00E52611">
        <w:rPr>
          <w:i/>
          <w:iCs/>
        </w:rPr>
        <w:t>Metro. Life Ins. Co. v. Ward</w:t>
      </w:r>
      <w:r w:rsidR="00161D8C" w:rsidRPr="00E52611">
        <w:rPr>
          <w:iCs/>
        </w:rPr>
        <w:t>,</w:t>
      </w:r>
      <w:r w:rsidR="00161D8C" w:rsidRPr="00E52611">
        <w:t xml:space="preserve"> 470 U.S. 869, 881 n. 9 (1985)</w:t>
      </w:r>
      <w:bookmarkEnd w:id="68"/>
      <w:r w:rsidR="00A87477" w:rsidRPr="00E52611">
        <w:t xml:space="preserve"> (equal protection)</w:t>
      </w:r>
      <w:r w:rsidR="00816BB7" w:rsidRPr="00E52611">
        <w:t>;</w:t>
      </w:r>
      <w:r w:rsidR="00264E4E" w:rsidRPr="00E52611">
        <w:t xml:space="preserve"> </w:t>
      </w:r>
      <w:r w:rsidR="00DF0559" w:rsidRPr="00E52611">
        <w:fldChar w:fldCharType="begin"/>
      </w:r>
      <w:r w:rsidR="00E52611" w:rsidRPr="00E52611">
        <w:instrText xml:space="preserve"> ADDIN BA \xc &lt;@cs&gt; \xl 61 \s QOQUYW000030 \xhfl Rep \l "</w:instrText>
      </w:r>
      <w:r w:rsidR="00E52611" w:rsidRPr="00E52611">
        <w:rPr>
          <w:i/>
          <w:iCs/>
        </w:rPr>
        <w:instrText>United States v. Martin Linen Supply Co.</w:instrText>
      </w:r>
      <w:r w:rsidR="00E52611" w:rsidRPr="00E52611">
        <w:rPr>
          <w:iCs/>
        </w:rPr>
        <w:instrText>,&lt;SoftRt&gt;</w:instrText>
      </w:r>
      <w:r w:rsidR="00E52611" w:rsidRPr="00E52611">
        <w:instrText xml:space="preserve"> 430 U.S. 564 (1977)" </w:instrText>
      </w:r>
      <w:r w:rsidR="00DF0559" w:rsidRPr="00E52611">
        <w:fldChar w:fldCharType="end"/>
      </w:r>
      <w:bookmarkStart w:id="69" w:name="_BA_Cite_184"/>
      <w:r w:rsidR="00161D8C" w:rsidRPr="00E52611">
        <w:rPr>
          <w:i/>
          <w:iCs/>
        </w:rPr>
        <w:t>United States v. Martin Linen Supply Co.</w:t>
      </w:r>
      <w:r w:rsidR="00161D8C" w:rsidRPr="00E52611">
        <w:rPr>
          <w:iCs/>
        </w:rPr>
        <w:t>,</w:t>
      </w:r>
      <w:r w:rsidR="00161D8C" w:rsidRPr="00E52611">
        <w:t xml:space="preserve"> 430 U.S. 564 (1977)</w:t>
      </w:r>
      <w:bookmarkEnd w:id="69"/>
      <w:r w:rsidR="00A87477" w:rsidRPr="00E52611">
        <w:t xml:space="preserve"> (</w:t>
      </w:r>
      <w:r w:rsidR="00051E4E" w:rsidRPr="00E52611">
        <w:t>double jeopardy</w:t>
      </w:r>
      <w:r w:rsidR="00A87477" w:rsidRPr="00E52611">
        <w:t>)</w:t>
      </w:r>
      <w:r w:rsidR="00051E4E" w:rsidRPr="00E52611">
        <w:t>;</w:t>
      </w:r>
      <w:r w:rsidR="00E327FB" w:rsidRPr="00E52611">
        <w:rPr>
          <w:i/>
        </w:rPr>
        <w:t xml:space="preserve"> </w:t>
      </w:r>
      <w:r w:rsidR="00DF0559" w:rsidRPr="00E52611">
        <w:fldChar w:fldCharType="begin"/>
      </w:r>
      <w:r w:rsidR="00E52611" w:rsidRPr="00E52611">
        <w:instrText xml:space="preserve"> ADDIN BA \xc &lt;@cs&gt; \xl 47 \s QOQUYW000031 \xhfl Rep \l "</w:instrText>
      </w:r>
      <w:r w:rsidR="00E52611" w:rsidRPr="00E52611">
        <w:rPr>
          <w:i/>
          <w:iCs/>
        </w:rPr>
        <w:instrText>Marshall v. Barlow’s, Inc.</w:instrText>
      </w:r>
      <w:r w:rsidR="00E52611" w:rsidRPr="00E52611">
        <w:rPr>
          <w:iCs/>
        </w:rPr>
        <w:instrText>,&lt;SoftRt&gt;</w:instrText>
      </w:r>
      <w:r w:rsidR="00E52611" w:rsidRPr="00E52611">
        <w:instrText xml:space="preserve"> 436 U.S. 307 (1978)" </w:instrText>
      </w:r>
      <w:r w:rsidR="00DF0559" w:rsidRPr="00E52611">
        <w:fldChar w:fldCharType="end"/>
      </w:r>
      <w:bookmarkStart w:id="70" w:name="_BA_Cite_185"/>
      <w:r w:rsidR="00051E4E" w:rsidRPr="00E52611">
        <w:rPr>
          <w:i/>
          <w:iCs/>
        </w:rPr>
        <w:t>Marshall v. Barlow’s, Inc.</w:t>
      </w:r>
      <w:r w:rsidR="00051E4E" w:rsidRPr="00E52611">
        <w:rPr>
          <w:iCs/>
        </w:rPr>
        <w:t>,</w:t>
      </w:r>
      <w:r w:rsidR="00051E4E" w:rsidRPr="00E52611">
        <w:t xml:space="preserve"> 436 U.S. 307 (1978)</w:t>
      </w:r>
      <w:bookmarkEnd w:id="70"/>
      <w:r w:rsidR="00051E4E" w:rsidRPr="00E52611">
        <w:t xml:space="preserve"> (search and seizure</w:t>
      </w:r>
      <w:r w:rsidR="00D51F6D" w:rsidRPr="00E52611">
        <w:t>)</w:t>
      </w:r>
      <w:r w:rsidR="00A87477" w:rsidRPr="00E52611">
        <w:t xml:space="preserve">. </w:t>
      </w:r>
      <w:r w:rsidR="001463D3" w:rsidRPr="00E52611">
        <w:t>But</w:t>
      </w:r>
      <w:r w:rsidR="00883E61" w:rsidRPr="00E52611">
        <w:t xml:space="preserve"> </w:t>
      </w:r>
      <w:r w:rsidR="00090097" w:rsidRPr="00E52611">
        <w:t xml:space="preserve">corporations </w:t>
      </w:r>
      <w:r w:rsidR="00E7771E" w:rsidRPr="00E52611">
        <w:t>cannot assert</w:t>
      </w:r>
      <w:r w:rsidR="00F37F05" w:rsidRPr="00E52611">
        <w:t xml:space="preserve"> purely personal r</w:t>
      </w:r>
      <w:r w:rsidR="00090097" w:rsidRPr="00E52611">
        <w:t>ights</w:t>
      </w:r>
      <w:r w:rsidR="00816BB7" w:rsidRPr="00E52611">
        <w:t xml:space="preserve">. </w:t>
      </w:r>
      <w:r w:rsidR="001463D3" w:rsidRPr="00E52611">
        <w:rPr>
          <w:i/>
        </w:rPr>
        <w:t xml:space="preserve">See </w:t>
      </w:r>
      <w:r w:rsidR="00DF0559" w:rsidRPr="00E52611">
        <w:fldChar w:fldCharType="begin"/>
      </w:r>
      <w:r w:rsidR="00E52611" w:rsidRPr="00E52611">
        <w:instrText xml:space="preserve"> ADDIN BA \xc &lt;@cs&gt; \xl 44 \s QOQUYW000032 \xhfl Rep \l "</w:instrText>
      </w:r>
      <w:r w:rsidR="00E52611" w:rsidRPr="00E52611">
        <w:rPr>
          <w:i/>
        </w:rPr>
        <w:instrText>Wilson v. United States</w:instrText>
      </w:r>
      <w:r w:rsidR="00E52611" w:rsidRPr="00E52611">
        <w:instrText xml:space="preserve">,&lt;SoftRt&gt; 221 U.S. 361 (1911)" </w:instrText>
      </w:r>
      <w:r w:rsidR="00DF0559" w:rsidRPr="00E52611">
        <w:fldChar w:fldCharType="end"/>
      </w:r>
      <w:bookmarkStart w:id="71" w:name="_BA_Cite_186"/>
      <w:r w:rsidR="001463D3" w:rsidRPr="00E52611">
        <w:rPr>
          <w:i/>
        </w:rPr>
        <w:t>Wilson v. United States</w:t>
      </w:r>
      <w:r w:rsidR="0049278F" w:rsidRPr="00E52611">
        <w:t>, 221 U.S. 361</w:t>
      </w:r>
      <w:r w:rsidR="00F53A10" w:rsidRPr="00E52611">
        <w:t xml:space="preserve"> </w:t>
      </w:r>
      <w:r w:rsidR="001463D3" w:rsidRPr="00E52611">
        <w:t>(1911)</w:t>
      </w:r>
      <w:bookmarkEnd w:id="71"/>
      <w:r w:rsidR="001463D3" w:rsidRPr="00E52611">
        <w:t xml:space="preserve"> (self-incrimination);</w:t>
      </w:r>
      <w:r w:rsidR="0049278F" w:rsidRPr="00E52611">
        <w:t xml:space="preserve"> </w:t>
      </w:r>
      <w:r w:rsidR="00DF0559" w:rsidRPr="00E52611">
        <w:fldChar w:fldCharType="begin"/>
      </w:r>
      <w:r w:rsidR="00E52611" w:rsidRPr="00E52611">
        <w:instrText xml:space="preserve"> ADDIN BA \xc &lt;@cs&gt; \xl 53 \s QOQUYW000033 \xhfl Rep \l "</w:instrText>
      </w:r>
      <w:r w:rsidR="00E52611" w:rsidRPr="00E52611">
        <w:rPr>
          <w:i/>
        </w:rPr>
        <w:instrText>United States v. Morton Salt Co.</w:instrText>
      </w:r>
      <w:r w:rsidR="00E52611" w:rsidRPr="00E52611">
        <w:instrText xml:space="preserve">,&lt;SoftRt&gt; 338 U.S. 632 (1950)" </w:instrText>
      </w:r>
      <w:r w:rsidR="00DF0559" w:rsidRPr="00E52611">
        <w:fldChar w:fldCharType="end"/>
      </w:r>
      <w:bookmarkStart w:id="72" w:name="_BA_Cite_187"/>
      <w:r w:rsidR="008D556C" w:rsidRPr="00E52611">
        <w:rPr>
          <w:i/>
        </w:rPr>
        <w:t>United</w:t>
      </w:r>
      <w:r w:rsidR="00152A05" w:rsidRPr="00E52611">
        <w:rPr>
          <w:i/>
        </w:rPr>
        <w:t xml:space="preserve"> </w:t>
      </w:r>
      <w:r w:rsidR="00090097" w:rsidRPr="00E52611">
        <w:rPr>
          <w:i/>
        </w:rPr>
        <w:t>States v. Morton Salt Co.</w:t>
      </w:r>
      <w:r w:rsidR="0049278F" w:rsidRPr="00E52611">
        <w:t>, 338 U.S. 632</w:t>
      </w:r>
      <w:r w:rsidR="00090097" w:rsidRPr="00E52611">
        <w:t xml:space="preserve"> (1950)</w:t>
      </w:r>
      <w:bookmarkEnd w:id="72"/>
      <w:r w:rsidR="00840B7E" w:rsidRPr="00E52611">
        <w:t xml:space="preserve"> (privacy)</w:t>
      </w:r>
      <w:r w:rsidR="00090097" w:rsidRPr="00E52611">
        <w:t xml:space="preserve">. </w:t>
      </w:r>
      <w:r w:rsidR="00090097" w:rsidRPr="00E52611">
        <w:rPr>
          <w:i/>
        </w:rPr>
        <w:t xml:space="preserve"> </w:t>
      </w:r>
    </w:p>
    <w:p w:rsidR="007C39E6" w:rsidRPr="00E52611" w:rsidRDefault="006A1F23" w:rsidP="00752D8B">
      <w:pPr>
        <w:spacing w:line="480" w:lineRule="auto"/>
      </w:pPr>
      <w:r w:rsidRPr="00E52611">
        <w:rPr>
          <w:i/>
        </w:rPr>
        <w:tab/>
      </w:r>
      <w:r w:rsidRPr="00E52611">
        <w:t xml:space="preserve">“Whether or not a particular guarantee is purely personal” and unavailable to corporations “depends on the nature, history, and purpose of the particular constitutional provision.” </w:t>
      </w:r>
      <w:r w:rsidR="00DF0559" w:rsidRPr="00E52611">
        <w:fldChar w:fldCharType="begin"/>
      </w:r>
      <w:r w:rsidR="00E52611" w:rsidRPr="00E52611">
        <w:instrText xml:space="preserve"> ADDIN BA \xc &lt;@$cs&gt; \xl 32 \s QOQUYW000026 \xhfl Rep </w:instrText>
      </w:r>
      <w:r w:rsidR="00DF0559" w:rsidRPr="00E52611">
        <w:fldChar w:fldCharType="end"/>
      </w:r>
      <w:bookmarkStart w:id="73" w:name="_BA_Cite_188"/>
      <w:r w:rsidRPr="00E52611">
        <w:rPr>
          <w:i/>
        </w:rPr>
        <w:t>Bellotti</w:t>
      </w:r>
      <w:r w:rsidR="001508FD" w:rsidRPr="00E52611">
        <w:t xml:space="preserve">, 435 U.S. at 779, </w:t>
      </w:r>
      <w:r w:rsidR="003D22E0" w:rsidRPr="00E52611">
        <w:t>n. 14</w:t>
      </w:r>
      <w:bookmarkEnd w:id="73"/>
      <w:r w:rsidR="001B7352" w:rsidRPr="00E52611">
        <w:t xml:space="preserve">. </w:t>
      </w:r>
    </w:p>
    <w:p w:rsidR="008840A4" w:rsidRPr="00E52611" w:rsidRDefault="00994281" w:rsidP="00752D8B">
      <w:pPr>
        <w:pStyle w:val="ListParagraph"/>
        <w:spacing w:line="480" w:lineRule="auto"/>
        <w:ind w:left="0" w:firstLine="720"/>
        <w:rPr>
          <w:rFonts w:eastAsia="Times New Roman"/>
          <w:b/>
          <w:lang w:eastAsia="en-US"/>
        </w:rPr>
      </w:pPr>
      <w:r w:rsidRPr="00E52611">
        <w:t xml:space="preserve">“[B]ills of attainder historically ha[ve] targeted corporations as well as natural persons.” </w:t>
      </w:r>
      <w:r w:rsidR="00DF0559" w:rsidRPr="00E52611">
        <w:fldChar w:fldCharType="begin"/>
      </w:r>
      <w:r w:rsidR="00E52611" w:rsidRPr="00E52611">
        <w:instrText xml:space="preserve"> ADDIN BA \xc &lt;@$cs&gt; \xl 29 \s QOQUYW000018 \xhfl Rep </w:instrText>
      </w:r>
      <w:r w:rsidR="00DF0559" w:rsidRPr="00E52611">
        <w:fldChar w:fldCharType="end"/>
      </w:r>
      <w:r w:rsidRPr="00E52611">
        <w:rPr>
          <w:i/>
        </w:rPr>
        <w:t>Con. Edison</w:t>
      </w:r>
      <w:r w:rsidRPr="00E52611">
        <w:t xml:space="preserve">, 292 F. 3d at 348. For example, “several English statutes imposed disabilities of English boroughs.” </w:t>
      </w:r>
      <w:r w:rsidR="00DF0559" w:rsidRPr="00E52611">
        <w:fldChar w:fldCharType="begin"/>
      </w:r>
      <w:r w:rsidR="00E52611" w:rsidRPr="00E52611">
        <w:instrText xml:space="preserve"> ADDIN BA \xc &lt;@$id&gt; \xl 3 \s ID </w:instrText>
      </w:r>
      <w:r w:rsidR="00DF0559" w:rsidRPr="00E52611">
        <w:fldChar w:fldCharType="end"/>
      </w:r>
      <w:r w:rsidRPr="00E52611">
        <w:rPr>
          <w:i/>
        </w:rPr>
        <w:t>Id.</w:t>
      </w:r>
      <w:r w:rsidRPr="00E52611">
        <w:t xml:space="preserve"> (citing 1 &amp; 2 Geo. 4, c. 47 (Eng. 1821)). Historically, municipalities and counties were considered analogous to private corporations. </w:t>
      </w:r>
      <w:r w:rsidR="00DF0559" w:rsidRPr="00E52611">
        <w:fldChar w:fldCharType="begin"/>
      </w:r>
      <w:r w:rsidR="00E52611" w:rsidRPr="00E52611">
        <w:instrText xml:space="preserve"> ADDIN BA \xc &lt;@per&gt; \xl 380 \s QOQUYW000034 \l "</w:instrText>
      </w:r>
      <w:r w:rsidR="00E52611" w:rsidRPr="00E52611">
        <w:rPr>
          <w:rFonts w:eastAsia="Times New Roman"/>
          <w:lang w:eastAsia="en-US"/>
        </w:rPr>
        <w:instrText xml:space="preserve">William A. Fletcher, </w:instrText>
      </w:r>
      <w:r w:rsidR="00E52611" w:rsidRPr="00E52611">
        <w:rPr>
          <w:rFonts w:eastAsia="Times New Roman"/>
          <w:i/>
          <w:lang w:eastAsia="en-US"/>
        </w:rPr>
        <w:instrText>A Historical Interpretation of the Eleventh Amendment: A Narrow Construction of an Affirmative Grant of Jurisdiction Rather Than A Prohibition Against Jurisdiction</w:instrText>
      </w:r>
      <w:r w:rsidR="00E52611" w:rsidRPr="00E52611">
        <w:rPr>
          <w:rFonts w:eastAsia="Times New Roman"/>
          <w:lang w:eastAsia="en-US"/>
        </w:rPr>
        <w:instrText>, 35 Stan. L. Rev. 1033, 1100 (1983) (“For purposes of legal category and consequence in 1793, a municipal corporation was seen as more closely analogous to a private corporation than to a state”)</w:instrText>
      </w:r>
      <w:r w:rsidR="00E52611" w:rsidRPr="00E52611">
        <w:instrText xml:space="preserve">" </w:instrText>
      </w:r>
      <w:r w:rsidR="00DF0559" w:rsidRPr="00E52611">
        <w:fldChar w:fldCharType="end"/>
      </w:r>
      <w:bookmarkStart w:id="74" w:name="_BA_Cite_189"/>
      <w:r w:rsidRPr="00E52611">
        <w:rPr>
          <w:rFonts w:eastAsia="Times New Roman"/>
          <w:lang w:eastAsia="en-US"/>
        </w:rPr>
        <w:t xml:space="preserve">William A. Fletcher, </w:t>
      </w:r>
      <w:r w:rsidRPr="00E52611">
        <w:rPr>
          <w:rFonts w:eastAsia="Times New Roman"/>
          <w:i/>
          <w:lang w:eastAsia="en-US"/>
        </w:rPr>
        <w:t>A Historical Interpretation of the Eleventh Amendment: A Narrow Construction of an Affirmative Grant of Jurisdiction Rather Than A Prohibition Against Jurisdiction</w:t>
      </w:r>
      <w:r w:rsidRPr="00E52611">
        <w:rPr>
          <w:rFonts w:eastAsia="Times New Roman"/>
          <w:lang w:eastAsia="en-US"/>
        </w:rPr>
        <w:t>, 35 Stan. L. Rev. 1033, 1100 (1983) (“For purposes of legal category and consequence in 1793, a municipal corporation was seen as more closely analogous to a private corporation than to a state”)</w:t>
      </w:r>
      <w:bookmarkEnd w:id="74"/>
      <w:r w:rsidRPr="00E52611">
        <w:rPr>
          <w:rFonts w:eastAsia="Times New Roman"/>
          <w:lang w:eastAsia="en-US"/>
        </w:rPr>
        <w:t xml:space="preserve">. </w:t>
      </w:r>
    </w:p>
    <w:p w:rsidR="00192C44" w:rsidRPr="00E52611" w:rsidRDefault="00013B22" w:rsidP="00CB4DCC">
      <w:pPr>
        <w:spacing w:line="480" w:lineRule="auto"/>
      </w:pPr>
      <w:r w:rsidRPr="00E52611">
        <w:lastRenderedPageBreak/>
        <w:tab/>
      </w:r>
      <w:r w:rsidR="001E3504" w:rsidRPr="00E52611">
        <w:t>Moreover, t</w:t>
      </w:r>
      <w:r w:rsidR="00752D8B" w:rsidRPr="00E52611">
        <w:t>he purpose</w:t>
      </w:r>
      <w:r w:rsidR="001508FD" w:rsidRPr="00E52611">
        <w:t>s</w:t>
      </w:r>
      <w:r w:rsidR="00752D8B" w:rsidRPr="00E52611">
        <w:t xml:space="preserve"> animating the </w:t>
      </w:r>
      <w:r w:rsidR="00DF0559" w:rsidRPr="00E52611">
        <w:fldChar w:fldCharType="begin"/>
      </w:r>
      <w:r w:rsidR="00E52611" w:rsidRPr="00E52611">
        <w:instrText xml:space="preserve"> ADDIN BA \xc &lt;@$osdv&gt; \xl 17 \s QOQUYW000074 </w:instrText>
      </w:r>
      <w:r w:rsidR="00DF0559" w:rsidRPr="00E52611">
        <w:fldChar w:fldCharType="end"/>
      </w:r>
      <w:r w:rsidR="00752D8B" w:rsidRPr="00E52611">
        <w:t xml:space="preserve">Attainder Clauses support their application to corporations. </w:t>
      </w:r>
      <w:r w:rsidR="00841177" w:rsidRPr="00E52611">
        <w:t>The C</w:t>
      </w:r>
      <w:r w:rsidR="004339C1" w:rsidRPr="00E52611">
        <w:t>lause</w:t>
      </w:r>
      <w:r w:rsidR="00C60596" w:rsidRPr="00E52611">
        <w:t xml:space="preserve">s </w:t>
      </w:r>
      <w:r w:rsidR="00822954" w:rsidRPr="00E52611">
        <w:t>are</w:t>
      </w:r>
      <w:r w:rsidR="00C60596" w:rsidRPr="00E52611">
        <w:t xml:space="preserve"> </w:t>
      </w:r>
      <w:r w:rsidR="004339C1" w:rsidRPr="00E52611">
        <w:t xml:space="preserve">a “bulwark against tyranny,” </w:t>
      </w:r>
      <w:r w:rsidR="00DF0559" w:rsidRPr="00E52611">
        <w:fldChar w:fldCharType="begin"/>
      </w:r>
      <w:r w:rsidR="00E52611" w:rsidRPr="00E52611">
        <w:instrText xml:space="preserve"> ADDIN BA \xc &lt;@$cs&gt; \xl 22 \s QOQUYW000016 \xhfl Rep </w:instrText>
      </w:r>
      <w:r w:rsidR="00DF0559" w:rsidRPr="00E52611">
        <w:fldChar w:fldCharType="end"/>
      </w:r>
      <w:r w:rsidR="004339C1" w:rsidRPr="00E52611">
        <w:rPr>
          <w:i/>
        </w:rPr>
        <w:t>Brown</w:t>
      </w:r>
      <w:r w:rsidR="004339C1" w:rsidRPr="00E52611">
        <w:t xml:space="preserve">, 381 U.S. at 442; a protection against “special legislative acts which take away life, liberty, or property . . . because the legislature thinks them guilty of conduct which deserves punishment.” </w:t>
      </w:r>
      <w:r w:rsidR="00DF0559" w:rsidRPr="00E52611">
        <w:fldChar w:fldCharType="begin"/>
      </w:r>
      <w:r w:rsidR="00E52611" w:rsidRPr="00E52611">
        <w:instrText xml:space="preserve"> ADDIN BA \xc &lt;@cs&gt; \xl 53 \s QOQUYW000035 \xhfl Rep \l "</w:instrText>
      </w:r>
      <w:r w:rsidR="00E52611" w:rsidRPr="00E52611">
        <w:rPr>
          <w:i/>
        </w:rPr>
        <w:instrText>United States v. Lovett</w:instrText>
      </w:r>
      <w:r w:rsidR="00E52611" w:rsidRPr="00E52611">
        <w:instrText xml:space="preserve">,&lt;SoftRt&gt; 328 U.S. 303 (1946)" </w:instrText>
      </w:r>
      <w:r w:rsidR="00DF0559" w:rsidRPr="00E52611">
        <w:fldChar w:fldCharType="end"/>
      </w:r>
      <w:bookmarkStart w:id="75" w:name="_BA_Cite_190"/>
      <w:r w:rsidR="00B70763" w:rsidRPr="00E52611">
        <w:rPr>
          <w:i/>
        </w:rPr>
        <w:t xml:space="preserve">United States v. </w:t>
      </w:r>
      <w:r w:rsidR="004339C1" w:rsidRPr="00E52611">
        <w:rPr>
          <w:i/>
        </w:rPr>
        <w:t>Lovett</w:t>
      </w:r>
      <w:r w:rsidR="004339C1" w:rsidRPr="00E52611">
        <w:t xml:space="preserve">, 328 U.S. </w:t>
      </w:r>
      <w:r w:rsidR="002134DA" w:rsidRPr="00E52611">
        <w:t xml:space="preserve">303, </w:t>
      </w:r>
      <w:r w:rsidR="004339C1" w:rsidRPr="00E52611">
        <w:t>1079-80</w:t>
      </w:r>
      <w:r w:rsidR="002134DA" w:rsidRPr="00E52611">
        <w:t xml:space="preserve"> (1946)</w:t>
      </w:r>
      <w:bookmarkEnd w:id="75"/>
      <w:r w:rsidR="004339C1" w:rsidRPr="00E52611">
        <w:t>.</w:t>
      </w:r>
      <w:r w:rsidR="00F7422F" w:rsidRPr="00E52611">
        <w:t xml:space="preserve"> </w:t>
      </w:r>
      <w:r w:rsidR="00E553A4" w:rsidRPr="00E52611">
        <w:t>Thus the provision is</w:t>
      </w:r>
      <w:r w:rsidR="004D52D1" w:rsidRPr="00E52611">
        <w:t xml:space="preserve"> </w:t>
      </w:r>
      <w:r w:rsidR="000F5585" w:rsidRPr="00E52611">
        <w:t>closely related to two othe</w:t>
      </w:r>
      <w:r w:rsidR="004B56E7">
        <w:t>r constitutional prerogatives–</w:t>
      </w:r>
      <w:r w:rsidR="000F5585" w:rsidRPr="00E52611">
        <w:t>procedural due process and separation of powers.</w:t>
      </w:r>
      <w:r w:rsidR="000E0C45" w:rsidRPr="00E52611">
        <w:t xml:space="preserve"> </w:t>
      </w:r>
      <w:r w:rsidR="000E0C45" w:rsidRPr="00E52611">
        <w:rPr>
          <w:i/>
        </w:rPr>
        <w:t>See</w:t>
      </w:r>
      <w:r w:rsidR="000F5585" w:rsidRPr="00E52611">
        <w:t xml:space="preserve"> </w:t>
      </w:r>
      <w:r w:rsidR="00DF0559" w:rsidRPr="00E52611">
        <w:fldChar w:fldCharType="begin"/>
      </w:r>
      <w:r w:rsidR="00E52611" w:rsidRPr="00E52611">
        <w:instrText xml:space="preserve"> ADDIN BA \xc &lt;@$cs&gt; \xl 31 \s QOQUYW000018 \xhfl Rep </w:instrText>
      </w:r>
      <w:r w:rsidR="00DF0559" w:rsidRPr="00E52611">
        <w:fldChar w:fldCharType="end"/>
      </w:r>
      <w:r w:rsidR="004F6048" w:rsidRPr="00E52611">
        <w:rPr>
          <w:i/>
        </w:rPr>
        <w:t>Con. Edison</w:t>
      </w:r>
      <w:r w:rsidR="004F6048" w:rsidRPr="00E52611">
        <w:t>, 292 F.3d at 347-48</w:t>
      </w:r>
      <w:r w:rsidR="000E0C45" w:rsidRPr="00E52611">
        <w:t xml:space="preserve">; </w:t>
      </w:r>
      <w:r w:rsidR="00DF0559" w:rsidRPr="00E52611">
        <w:fldChar w:fldCharType="begin"/>
      </w:r>
      <w:r w:rsidR="00E52611" w:rsidRPr="00E52611">
        <w:instrText xml:space="preserve"> ADDIN BA \xc &lt;@$cs&gt; \xl 22 \s QOQUYW000016 \xhfl Rep </w:instrText>
      </w:r>
      <w:r w:rsidR="00DF0559" w:rsidRPr="00E52611">
        <w:fldChar w:fldCharType="end"/>
      </w:r>
      <w:r w:rsidR="000E0C45" w:rsidRPr="00E52611">
        <w:rPr>
          <w:i/>
        </w:rPr>
        <w:t>Brown</w:t>
      </w:r>
      <w:r w:rsidR="00F30803" w:rsidRPr="00E52611">
        <w:t>, 381 U.S. at 442</w:t>
      </w:r>
      <w:r w:rsidR="000E0C45" w:rsidRPr="00E52611">
        <w:t xml:space="preserve">. </w:t>
      </w:r>
      <w:r w:rsidR="00CB4DCC" w:rsidRPr="00E52611">
        <w:t xml:space="preserve">Corporations have the right to procedural due process, </w:t>
      </w:r>
      <w:r w:rsidR="00DF0559" w:rsidRPr="00E52611">
        <w:fldChar w:fldCharType="begin"/>
      </w:r>
      <w:r w:rsidR="00E52611" w:rsidRPr="00E52611">
        <w:instrText xml:space="preserve"> ADDIN BA \xc &lt;@$cs&gt; \xl 33 \s QOQUYW000028 \xhfl Rep </w:instrText>
      </w:r>
      <w:r w:rsidR="00DF0559" w:rsidRPr="00E52611">
        <w:fldChar w:fldCharType="end"/>
      </w:r>
      <w:bookmarkStart w:id="76" w:name="_BA_Cite_191"/>
      <w:r w:rsidR="00CB4DCC" w:rsidRPr="00E52611">
        <w:rPr>
          <w:i/>
        </w:rPr>
        <w:t>Helicopteros</w:t>
      </w:r>
      <w:r w:rsidR="00CB4DCC" w:rsidRPr="00E52611">
        <w:t>,</w:t>
      </w:r>
      <w:r w:rsidR="000B6D6D" w:rsidRPr="00E52611">
        <w:t xml:space="preserve"> 466 U.S. at 413-419</w:t>
      </w:r>
      <w:bookmarkEnd w:id="76"/>
      <w:r w:rsidR="000B6D6D" w:rsidRPr="00E52611">
        <w:t xml:space="preserve">, </w:t>
      </w:r>
      <w:r w:rsidR="00CB4DCC" w:rsidRPr="00E52611">
        <w:t xml:space="preserve">and may raise separation of powers challenges. </w:t>
      </w:r>
      <w:r w:rsidR="001D4B58" w:rsidRPr="00E52611">
        <w:rPr>
          <w:i/>
        </w:rPr>
        <w:t>See</w:t>
      </w:r>
      <w:r w:rsidR="00601110" w:rsidRPr="00E52611">
        <w:rPr>
          <w:i/>
        </w:rPr>
        <w:t xml:space="preserve">, e.g., </w:t>
      </w:r>
      <w:r w:rsidR="00DF0559" w:rsidRPr="00E52611">
        <w:fldChar w:fldCharType="begin"/>
      </w:r>
      <w:r w:rsidR="00E52611" w:rsidRPr="00E52611">
        <w:instrText xml:space="preserve"> ADDIN BA \xc &lt;@$cs&gt; \xl 25 \s QOQUYW000023 \xhfl Rep </w:instrText>
      </w:r>
      <w:r w:rsidR="00DF0559" w:rsidRPr="00E52611">
        <w:fldChar w:fldCharType="end"/>
      </w:r>
      <w:r w:rsidR="00205E20" w:rsidRPr="00E52611">
        <w:rPr>
          <w:i/>
        </w:rPr>
        <w:t>SBC</w:t>
      </w:r>
      <w:r w:rsidR="00205E20" w:rsidRPr="00E52611">
        <w:t xml:space="preserve">, 154 F. 3d at 244-245. </w:t>
      </w:r>
    </w:p>
    <w:p w:rsidR="002719C6" w:rsidRPr="00E52611" w:rsidRDefault="004A30E2" w:rsidP="00DE4AFA">
      <w:pPr>
        <w:pStyle w:val="Heading2"/>
        <w:numPr>
          <w:ilvl w:val="0"/>
          <w:numId w:val="9"/>
        </w:numPr>
        <w:ind w:left="720"/>
      </w:pPr>
      <w:bookmarkStart w:id="77" w:name="_Toc190667446"/>
      <w:r w:rsidRPr="00E52611">
        <w:t xml:space="preserve">The Appropriations Laws </w:t>
      </w:r>
      <w:r w:rsidR="00B81E58" w:rsidRPr="00E52611">
        <w:t>Ar</w:t>
      </w:r>
      <w:r w:rsidR="00164C9C" w:rsidRPr="00E52611">
        <w:t>e</w:t>
      </w:r>
      <w:r w:rsidR="002B5A6E" w:rsidRPr="00E52611">
        <w:t xml:space="preserve"> Un</w:t>
      </w:r>
      <w:r w:rsidR="00991FF1" w:rsidRPr="00E52611">
        <w:t>constitutional</w:t>
      </w:r>
      <w:r w:rsidRPr="00E52611">
        <w:t xml:space="preserve"> Bills of Attainder</w:t>
      </w:r>
      <w:bookmarkEnd w:id="77"/>
      <w:r w:rsidRPr="00E52611">
        <w:t xml:space="preserve"> </w:t>
      </w:r>
    </w:p>
    <w:p w:rsidR="001F3429" w:rsidRPr="00E52611" w:rsidRDefault="001F3429" w:rsidP="001F3429"/>
    <w:p w:rsidR="00EB74BC" w:rsidRPr="00E52611" w:rsidRDefault="00212053" w:rsidP="00DE4AFA">
      <w:pPr>
        <w:pStyle w:val="Heading2"/>
        <w:numPr>
          <w:ilvl w:val="0"/>
          <w:numId w:val="14"/>
        </w:numPr>
        <w:ind w:hanging="720"/>
      </w:pPr>
      <w:bookmarkStart w:id="78" w:name="_Toc190667447"/>
      <w:r w:rsidRPr="00E52611">
        <w:t xml:space="preserve">The Appropriations Laws Amount to Punishment under the </w:t>
      </w:r>
      <w:r w:rsidR="00EB74BC" w:rsidRPr="00E52611">
        <w:t xml:space="preserve">Historical </w:t>
      </w:r>
      <w:r w:rsidR="003730B2" w:rsidRPr="00E52611">
        <w:t>Test</w:t>
      </w:r>
      <w:bookmarkEnd w:id="78"/>
      <w:r w:rsidR="003730B2" w:rsidRPr="00E52611">
        <w:t xml:space="preserve"> </w:t>
      </w:r>
    </w:p>
    <w:p w:rsidR="003266AA" w:rsidRPr="00E52611" w:rsidRDefault="003266AA" w:rsidP="003266AA"/>
    <w:p w:rsidR="00F30724" w:rsidRPr="00E52611" w:rsidRDefault="003730B2" w:rsidP="003266AA">
      <w:pPr>
        <w:spacing w:line="480" w:lineRule="auto"/>
      </w:pPr>
      <w:r w:rsidRPr="00E52611">
        <w:tab/>
        <w:t xml:space="preserve">The historical test asks whether </w:t>
      </w:r>
      <w:r w:rsidR="00D252CF" w:rsidRPr="00E52611">
        <w:t xml:space="preserve">a statute </w:t>
      </w:r>
      <w:r w:rsidR="00BE2D23" w:rsidRPr="00E52611">
        <w:t xml:space="preserve">“imposes the sorts of deprivations and disabilities so disproportionately severe and so inappropriate to nonpunitive ends that they unquestionably </w:t>
      </w:r>
      <w:r w:rsidR="002A181A" w:rsidRPr="00E52611">
        <w:t xml:space="preserve">have been held to fall within the proscription” of the Bill of </w:t>
      </w:r>
      <w:r w:rsidR="00DF0559" w:rsidRPr="00E52611">
        <w:fldChar w:fldCharType="begin"/>
      </w:r>
      <w:r w:rsidR="00E52611" w:rsidRPr="00E52611">
        <w:instrText xml:space="preserve"> ADDIN BA \xc &lt;@$osdv&gt; \xl 17 \s QOQUYW000074 </w:instrText>
      </w:r>
      <w:r w:rsidR="00DF0559" w:rsidRPr="00E52611">
        <w:fldChar w:fldCharType="end"/>
      </w:r>
      <w:r w:rsidR="002A181A" w:rsidRPr="00E52611">
        <w:t>Attainder Clause</w:t>
      </w:r>
      <w:r w:rsidR="00E4320D" w:rsidRPr="00E52611">
        <w:t>s</w:t>
      </w:r>
      <w:r w:rsidR="002A181A" w:rsidRPr="00E52611">
        <w:t xml:space="preserve">. </w:t>
      </w:r>
      <w:r w:rsidR="00DF0559" w:rsidRPr="00E52611">
        <w:fldChar w:fldCharType="begin"/>
      </w:r>
      <w:r w:rsidR="00E52611" w:rsidRPr="00E52611">
        <w:instrText xml:space="preserve"> ADDIN BA \xc &lt;@$cs&gt; \xl 28 \s QOQUYW000018 \xhfl Rep </w:instrText>
      </w:r>
      <w:r w:rsidR="00DF0559" w:rsidRPr="00E52611">
        <w:fldChar w:fldCharType="end"/>
      </w:r>
      <w:r w:rsidR="0094668E" w:rsidRPr="00E52611">
        <w:rPr>
          <w:i/>
        </w:rPr>
        <w:t>Con</w:t>
      </w:r>
      <w:r w:rsidR="002A181A" w:rsidRPr="00E52611">
        <w:rPr>
          <w:i/>
        </w:rPr>
        <w:t>. Edison</w:t>
      </w:r>
      <w:r w:rsidR="002A181A" w:rsidRPr="00E52611">
        <w:t xml:space="preserve">, 292 F.3d at 351. </w:t>
      </w:r>
      <w:r w:rsidR="00F30724" w:rsidRPr="00E52611">
        <w:t xml:space="preserve"> </w:t>
      </w:r>
    </w:p>
    <w:p w:rsidR="00221F82" w:rsidRPr="00E52611" w:rsidRDefault="003350B3" w:rsidP="003266AA">
      <w:pPr>
        <w:spacing w:line="480" w:lineRule="auto"/>
      </w:pPr>
      <w:r w:rsidRPr="00E52611">
        <w:tab/>
      </w:r>
      <w:r w:rsidR="00AC40B8" w:rsidRPr="00E52611">
        <w:t xml:space="preserve">“In England a bill of attainder originally connoted a parliamentary Act sentencing a named individual or identifiable members of a group to death.” </w:t>
      </w:r>
      <w:r w:rsidR="00DF0559" w:rsidRPr="00E52611">
        <w:fldChar w:fldCharType="begin"/>
      </w:r>
      <w:r w:rsidR="00E52611" w:rsidRPr="00E52611">
        <w:instrText xml:space="preserve"> ADDIN BA \xc &lt;@$cs&gt; \xl 22 \s QOQUYW000015 \xhfl Rep </w:instrText>
      </w:r>
      <w:r w:rsidR="00DF0559" w:rsidRPr="00E52611">
        <w:fldChar w:fldCharType="end"/>
      </w:r>
      <w:r w:rsidR="00AC40B8" w:rsidRPr="00E52611">
        <w:rPr>
          <w:i/>
        </w:rPr>
        <w:t>Nixon</w:t>
      </w:r>
      <w:r w:rsidR="00AC40B8" w:rsidRPr="00E52611">
        <w:t xml:space="preserve">, 433 U.S. at 473. </w:t>
      </w:r>
      <w:r w:rsidR="00EB37CA" w:rsidRPr="00E52611">
        <w:t xml:space="preserve">But </w:t>
      </w:r>
      <w:r w:rsidR="00631340" w:rsidRPr="00E52611">
        <w:t xml:space="preserve">the </w:t>
      </w:r>
      <w:r w:rsidR="00DF0559" w:rsidRPr="00E52611">
        <w:fldChar w:fldCharType="begin"/>
      </w:r>
      <w:r w:rsidR="00E52611" w:rsidRPr="00E52611">
        <w:instrText xml:space="preserve"> ADDIN BA \xc &lt;@$osdv&gt; \xl 17 \s QOQUYW000074 </w:instrText>
      </w:r>
      <w:r w:rsidR="00DF0559" w:rsidRPr="00E52611">
        <w:fldChar w:fldCharType="end"/>
      </w:r>
      <w:r w:rsidR="00631340" w:rsidRPr="00E52611">
        <w:t>Attainder Clauses</w:t>
      </w:r>
      <w:r w:rsidR="007051ED" w:rsidRPr="00E52611">
        <w:t xml:space="preserve"> broadly p</w:t>
      </w:r>
      <w:r w:rsidR="00631340" w:rsidRPr="00E52611">
        <w:t>roscribe</w:t>
      </w:r>
      <w:r w:rsidR="0039574F" w:rsidRPr="00E52611">
        <w:t xml:space="preserve"> </w:t>
      </w:r>
      <w:r w:rsidR="00DF543C" w:rsidRPr="00E52611">
        <w:t xml:space="preserve">both </w:t>
      </w:r>
      <w:r w:rsidR="00EB37CA" w:rsidRPr="00E52611">
        <w:t>what w</w:t>
      </w:r>
      <w:r w:rsidR="00C5336E" w:rsidRPr="00E52611">
        <w:t>ere</w:t>
      </w:r>
      <w:r w:rsidR="00EB37CA" w:rsidRPr="00E52611">
        <w:t xml:space="preserve"> d</w:t>
      </w:r>
      <w:r w:rsidR="008055C7" w:rsidRPr="00E52611">
        <w:t>efined as bills of attainder as well as</w:t>
      </w:r>
      <w:r w:rsidR="00EB37CA" w:rsidRPr="00E52611">
        <w:t xml:space="preserve"> bills of pains and penalties </w:t>
      </w:r>
      <w:r w:rsidR="00EB37CA" w:rsidRPr="00E52611">
        <w:lastRenderedPageBreak/>
        <w:t xml:space="preserve">in England. </w:t>
      </w:r>
      <w:r w:rsidR="00DF0559" w:rsidRPr="00E52611">
        <w:fldChar w:fldCharType="begin"/>
      </w:r>
      <w:r w:rsidR="00E52611" w:rsidRPr="00E52611">
        <w:instrText xml:space="preserve"> ADDIN BA \xc &lt;@$id&gt; \xl 10 \s ID \xhfl Rep </w:instrText>
      </w:r>
      <w:r w:rsidR="00DF0559" w:rsidRPr="00E52611">
        <w:fldChar w:fldCharType="end"/>
      </w:r>
      <w:r w:rsidR="00EB37CA" w:rsidRPr="00E52611">
        <w:rPr>
          <w:i/>
        </w:rPr>
        <w:t>Id.</w:t>
      </w:r>
      <w:r w:rsidR="00EB37CA" w:rsidRPr="00E52611">
        <w:t xml:space="preserve"> at 474.</w:t>
      </w:r>
      <w:r w:rsidR="001B1360" w:rsidRPr="00E52611">
        <w:t xml:space="preserve"> Bills of pains and penalt</w:t>
      </w:r>
      <w:r w:rsidR="002346B5" w:rsidRPr="00E52611">
        <w:t>ies were “generally addressed to</w:t>
      </w:r>
      <w:r w:rsidR="001B1360" w:rsidRPr="00E52611">
        <w:t xml:space="preserve"> persons consi</w:t>
      </w:r>
      <w:r w:rsidR="002346B5" w:rsidRPr="00E52611">
        <w:t>dered disloyal to the Crown</w:t>
      </w:r>
      <w:r w:rsidR="001B1360" w:rsidRPr="00E52611">
        <w:t xml:space="preserve"> or State,” and “consisted of a wide array of punishment” including “prisonment, banishment, and punitive confiscation of property by the sovereign.” </w:t>
      </w:r>
      <w:r w:rsidR="00DF0559" w:rsidRPr="00E52611">
        <w:fldChar w:fldCharType="begin"/>
      </w:r>
      <w:r w:rsidR="00E52611" w:rsidRPr="00E52611">
        <w:instrText xml:space="preserve"> ADDIN BA \xc &lt;@$id&gt; \xl 3 \s ID </w:instrText>
      </w:r>
      <w:r w:rsidR="00DF0559" w:rsidRPr="00E52611">
        <w:fldChar w:fldCharType="end"/>
      </w:r>
      <w:r w:rsidR="0044207E" w:rsidRPr="00E52611">
        <w:rPr>
          <w:i/>
        </w:rPr>
        <w:t xml:space="preserve">Id. </w:t>
      </w:r>
      <w:r w:rsidR="0044207E" w:rsidRPr="00E52611">
        <w:t xml:space="preserve">“Our country’s own experience with bills of attainder” broadened the scope of historical attainder to </w:t>
      </w:r>
      <w:r w:rsidR="0067238A" w:rsidRPr="00E52611">
        <w:t xml:space="preserve">include </w:t>
      </w:r>
      <w:r w:rsidR="00302A54" w:rsidRPr="00E52611">
        <w:t xml:space="preserve">legislative bars on </w:t>
      </w:r>
      <w:r w:rsidR="0044207E" w:rsidRPr="00E52611">
        <w:t xml:space="preserve">specific </w:t>
      </w:r>
      <w:r w:rsidR="00302A54" w:rsidRPr="00E52611">
        <w:t>vocations.</w:t>
      </w:r>
      <w:r w:rsidR="0044207E" w:rsidRPr="00E52611">
        <w:t xml:space="preserve"> </w:t>
      </w:r>
      <w:r w:rsidR="00DF0559" w:rsidRPr="00E52611">
        <w:fldChar w:fldCharType="begin"/>
      </w:r>
      <w:r w:rsidR="00E52611" w:rsidRPr="00E52611">
        <w:instrText xml:space="preserve"> ADDIN BA \xc &lt;@$id&gt; \xl 3 \s ID </w:instrText>
      </w:r>
      <w:r w:rsidR="00DF0559" w:rsidRPr="00E52611">
        <w:fldChar w:fldCharType="end"/>
      </w:r>
      <w:r w:rsidR="0044207E" w:rsidRPr="00E52611">
        <w:rPr>
          <w:i/>
        </w:rPr>
        <w:t>Id.</w:t>
      </w:r>
    </w:p>
    <w:p w:rsidR="003730B2" w:rsidRPr="00E52611" w:rsidRDefault="00215FAA" w:rsidP="003266AA">
      <w:pPr>
        <w:spacing w:line="480" w:lineRule="auto"/>
        <w:ind w:firstLine="720"/>
      </w:pPr>
      <w:r w:rsidRPr="00E52611">
        <w:t>P</w:t>
      </w:r>
      <w:r w:rsidR="0094668E" w:rsidRPr="00E52611">
        <w:t>unishments that are not</w:t>
      </w:r>
      <w:r w:rsidR="00632B74" w:rsidRPr="00E52611">
        <w:t xml:space="preserve"> “precisely identical” to the burdens histor</w:t>
      </w:r>
      <w:r w:rsidR="007A4716" w:rsidRPr="00E52611">
        <w:t>ically recognized as punishment</w:t>
      </w:r>
      <w:r w:rsidR="00632B74" w:rsidRPr="00E52611">
        <w:t xml:space="preserve"> but </w:t>
      </w:r>
      <w:r w:rsidR="00554F80" w:rsidRPr="00E52611">
        <w:t xml:space="preserve">which </w:t>
      </w:r>
      <w:r w:rsidR="00632B74" w:rsidRPr="00E52611">
        <w:t xml:space="preserve">contain </w:t>
      </w:r>
      <w:r w:rsidR="00734469" w:rsidRPr="00E52611">
        <w:t xml:space="preserve">congruently punitive measures </w:t>
      </w:r>
      <w:r w:rsidR="0079479A" w:rsidRPr="00E52611">
        <w:t>may meet the</w:t>
      </w:r>
      <w:r w:rsidR="00632B74" w:rsidRPr="00E52611">
        <w:t xml:space="preserve"> historical </w:t>
      </w:r>
      <w:r w:rsidR="0079479A" w:rsidRPr="00E52611">
        <w:t xml:space="preserve">definition </w:t>
      </w:r>
      <w:r w:rsidR="00632B74" w:rsidRPr="00E52611">
        <w:t xml:space="preserve">of punishment. </w:t>
      </w:r>
      <w:r w:rsidR="00DF0559" w:rsidRPr="00E52611">
        <w:fldChar w:fldCharType="begin"/>
      </w:r>
      <w:r w:rsidR="00E52611" w:rsidRPr="00E52611">
        <w:instrText xml:space="preserve"> ADDIN BA \xc &lt;@cs&gt; \xl 60 \s QOQUYW000036 \xhfl Rep \l "</w:instrText>
      </w:r>
      <w:r w:rsidR="00E52611" w:rsidRPr="00E52611">
        <w:rPr>
          <w:i/>
        </w:rPr>
        <w:instrText>Foretich v. U.S.</w:instrText>
      </w:r>
      <w:r w:rsidR="00E52611" w:rsidRPr="00E52611">
        <w:instrText xml:space="preserve">,&lt;SoftRt&gt; 351 F. 3d 1198 (D.C. Cir. 2003)" </w:instrText>
      </w:r>
      <w:r w:rsidR="00DF0559" w:rsidRPr="00E52611">
        <w:fldChar w:fldCharType="end"/>
      </w:r>
      <w:bookmarkStart w:id="79" w:name="_BA_Cite_192"/>
      <w:r w:rsidR="00632B74" w:rsidRPr="00E52611">
        <w:rPr>
          <w:i/>
        </w:rPr>
        <w:t>For</w:t>
      </w:r>
      <w:r w:rsidR="00364E7A" w:rsidRPr="00E52611">
        <w:rPr>
          <w:i/>
        </w:rPr>
        <w:t>et</w:t>
      </w:r>
      <w:r w:rsidR="00632B74" w:rsidRPr="00E52611">
        <w:rPr>
          <w:i/>
        </w:rPr>
        <w:t>ich</w:t>
      </w:r>
      <w:r w:rsidR="00550B55" w:rsidRPr="00E52611">
        <w:rPr>
          <w:i/>
        </w:rPr>
        <w:t xml:space="preserve"> v. U.S.</w:t>
      </w:r>
      <w:r w:rsidR="00632B74" w:rsidRPr="00E52611">
        <w:t xml:space="preserve">, </w:t>
      </w:r>
      <w:r w:rsidR="00550B55" w:rsidRPr="00E52611">
        <w:t xml:space="preserve">351 F. 3d 1198, </w:t>
      </w:r>
      <w:r w:rsidR="00632B74" w:rsidRPr="00E52611">
        <w:t>1219-1221</w:t>
      </w:r>
      <w:r w:rsidR="00550B55" w:rsidRPr="00E52611">
        <w:t xml:space="preserve"> (D.C. Cir. 2003)</w:t>
      </w:r>
      <w:bookmarkEnd w:id="79"/>
      <w:r w:rsidR="00632B74" w:rsidRPr="00E52611">
        <w:t xml:space="preserve">. For example, in </w:t>
      </w:r>
      <w:r w:rsidR="00DF0559" w:rsidRPr="00E52611">
        <w:fldChar w:fldCharType="begin"/>
      </w:r>
      <w:r w:rsidR="00E52611" w:rsidRPr="00E52611">
        <w:instrText xml:space="preserve"> ADDIN BA \xc &lt;@$cs&gt; \xl 8 \s QOQUYW000036 </w:instrText>
      </w:r>
      <w:r w:rsidR="00DF0559" w:rsidRPr="00E52611">
        <w:fldChar w:fldCharType="end"/>
      </w:r>
      <w:r w:rsidR="00632B74" w:rsidRPr="00E52611">
        <w:rPr>
          <w:rFonts w:eastAsia="Times New Roman"/>
          <w:i/>
          <w:lang w:eastAsia="en-US"/>
        </w:rPr>
        <w:t>Foretich</w:t>
      </w:r>
      <w:r w:rsidR="00632B74" w:rsidRPr="00E52611">
        <w:rPr>
          <w:rFonts w:eastAsia="Times New Roman"/>
          <w:lang w:eastAsia="en-US"/>
        </w:rPr>
        <w:t xml:space="preserve">, the D.C. Circuit held that a statute </w:t>
      </w:r>
      <w:r w:rsidR="00306A7C" w:rsidRPr="00E52611">
        <w:rPr>
          <w:rFonts w:eastAsia="Times New Roman"/>
          <w:lang w:eastAsia="en-US"/>
        </w:rPr>
        <w:t>depriving a</w:t>
      </w:r>
      <w:r w:rsidR="00632B74" w:rsidRPr="00E52611">
        <w:rPr>
          <w:rFonts w:eastAsia="Times New Roman"/>
          <w:lang w:eastAsia="en-US"/>
        </w:rPr>
        <w:t xml:space="preserve"> noncustodial father </w:t>
      </w:r>
      <w:r w:rsidR="00306A7C" w:rsidRPr="00E52611">
        <w:rPr>
          <w:rFonts w:eastAsia="Times New Roman"/>
          <w:lang w:eastAsia="en-US"/>
        </w:rPr>
        <w:t>all</w:t>
      </w:r>
      <w:r w:rsidR="00632B74" w:rsidRPr="00E52611">
        <w:rPr>
          <w:rFonts w:eastAsia="Times New Roman"/>
          <w:lang w:eastAsia="en-US"/>
        </w:rPr>
        <w:t xml:space="preserve"> visitation rights marked him with a “note of infamy” and therefore “would not be an inconsistent extension of the historical category.” </w:t>
      </w:r>
      <w:r w:rsidR="00DF0559" w:rsidRPr="00E52611">
        <w:fldChar w:fldCharType="begin"/>
      </w:r>
      <w:r w:rsidR="00E52611" w:rsidRPr="00E52611">
        <w:instrText xml:space="preserve"> ADDIN BA \xc &lt;@$id&gt; \xl 11 \s ID \xhfl Rep </w:instrText>
      </w:r>
      <w:r w:rsidR="00DF0559" w:rsidRPr="00E52611">
        <w:fldChar w:fldCharType="end"/>
      </w:r>
      <w:r w:rsidR="00632B74" w:rsidRPr="00E52611">
        <w:rPr>
          <w:rFonts w:eastAsia="Times New Roman"/>
          <w:i/>
          <w:lang w:eastAsia="en-US"/>
        </w:rPr>
        <w:t xml:space="preserve">Id. </w:t>
      </w:r>
      <w:r w:rsidR="00632B74" w:rsidRPr="00E52611">
        <w:rPr>
          <w:rFonts w:eastAsia="Times New Roman"/>
          <w:lang w:eastAsia="en-US"/>
        </w:rPr>
        <w:t xml:space="preserve">at 1220. </w:t>
      </w:r>
      <w:r w:rsidR="0047611E" w:rsidRPr="00E52611">
        <w:t xml:space="preserve">But governmental action that is not akin to any of the historical punishments does not suffice. </w:t>
      </w:r>
      <w:r w:rsidR="0047611E" w:rsidRPr="00E52611">
        <w:rPr>
          <w:i/>
        </w:rPr>
        <w:t xml:space="preserve">See </w:t>
      </w:r>
      <w:r w:rsidR="00DF0559" w:rsidRPr="00E52611">
        <w:fldChar w:fldCharType="begin"/>
      </w:r>
      <w:r w:rsidR="00E52611" w:rsidRPr="00E52611">
        <w:instrText xml:space="preserve"> ADDIN BA \xc &lt;@$id&gt; \xl 3 \s ID </w:instrText>
      </w:r>
      <w:r w:rsidR="00DF0559" w:rsidRPr="00E52611">
        <w:fldChar w:fldCharType="end"/>
      </w:r>
      <w:r w:rsidR="0047611E" w:rsidRPr="00E52611">
        <w:rPr>
          <w:i/>
        </w:rPr>
        <w:t xml:space="preserve">id. </w:t>
      </w:r>
      <w:r w:rsidR="004D427D" w:rsidRPr="00E52611">
        <w:t>So</w:t>
      </w:r>
      <w:r w:rsidR="00412CB6" w:rsidRPr="00E52611">
        <w:t xml:space="preserve"> </w:t>
      </w:r>
      <w:r w:rsidR="00632B74" w:rsidRPr="00E52611">
        <w:t xml:space="preserve">because “deportation has . . . never been considered [] punishment,” it </w:t>
      </w:r>
      <w:r w:rsidR="00527D60" w:rsidRPr="00E52611">
        <w:t xml:space="preserve">does not </w:t>
      </w:r>
      <w:r w:rsidR="0036763E" w:rsidRPr="00E52611">
        <w:t xml:space="preserve">pass </w:t>
      </w:r>
      <w:r w:rsidR="00527D60" w:rsidRPr="00E52611">
        <w:t>the historical test</w:t>
      </w:r>
      <w:r w:rsidR="00632B74" w:rsidRPr="00E52611">
        <w:t xml:space="preserve">. </w:t>
      </w:r>
      <w:r w:rsidR="00DF0559" w:rsidRPr="00E52611">
        <w:fldChar w:fldCharType="begin"/>
      </w:r>
      <w:r w:rsidR="00E52611" w:rsidRPr="00E52611">
        <w:instrText xml:space="preserve"> ADDIN BA \xc &lt;@cs&gt; \xl 51 \s QOQUYW000037 \xhfl Rep \l "</w:instrText>
      </w:r>
      <w:r w:rsidR="00E52611" w:rsidRPr="00E52611">
        <w:rPr>
          <w:i/>
        </w:rPr>
        <w:instrText>Schellong v. INS</w:instrText>
      </w:r>
      <w:r w:rsidR="00E52611" w:rsidRPr="00E52611">
        <w:instrText xml:space="preserve">,&lt;SoftRt&gt; 805 F.2d 655 (7th Cir. 1986)" </w:instrText>
      </w:r>
      <w:r w:rsidR="00DF0559" w:rsidRPr="00E52611">
        <w:fldChar w:fldCharType="end"/>
      </w:r>
      <w:bookmarkStart w:id="80" w:name="_BA_Cite_193"/>
      <w:r w:rsidR="00632B74" w:rsidRPr="00E52611">
        <w:rPr>
          <w:i/>
        </w:rPr>
        <w:t>Schellong v. INS</w:t>
      </w:r>
      <w:r w:rsidR="00632B74" w:rsidRPr="00E52611">
        <w:t>, 805 F.2d 655, 662 (7th Cir. 1986)</w:t>
      </w:r>
      <w:bookmarkEnd w:id="80"/>
      <w:r w:rsidR="00C625DD" w:rsidRPr="00E52611">
        <w:t>.</w:t>
      </w:r>
    </w:p>
    <w:p w:rsidR="00074B90" w:rsidRPr="00E52611" w:rsidRDefault="0010684D" w:rsidP="003266AA">
      <w:pPr>
        <w:spacing w:line="480" w:lineRule="auto"/>
        <w:ind w:firstLine="720"/>
      </w:pPr>
      <w:r w:rsidRPr="00E52611">
        <w:t>The</w:t>
      </w:r>
      <w:r w:rsidR="0089377E" w:rsidRPr="00E52611">
        <w:t xml:space="preserve"> Court of A</w:t>
      </w:r>
      <w:r w:rsidR="00DB3A8F" w:rsidRPr="00E52611">
        <w:t xml:space="preserve">ppeals erred when it </w:t>
      </w:r>
      <w:r w:rsidR="00190545" w:rsidRPr="00E52611">
        <w:t xml:space="preserve">determined that </w:t>
      </w:r>
      <w:r w:rsidR="00060C7A" w:rsidRPr="00E52611">
        <w:t>withholding of appropriations is not an historical form of punishment</w:t>
      </w:r>
      <w:r w:rsidR="00E91397" w:rsidRPr="00E52611">
        <w:t>.</w:t>
      </w:r>
      <w:r w:rsidR="00BB25C4" w:rsidRPr="00E52611">
        <w:t xml:space="preserve"> </w:t>
      </w:r>
      <w:r w:rsidR="00DF0559" w:rsidRPr="00E52611">
        <w:fldChar w:fldCharType="begin"/>
      </w:r>
      <w:r w:rsidR="00E52611" w:rsidRPr="00E52611">
        <w:instrText xml:space="preserve"> ADDIN BA \xc &lt;@rec&gt; \xl 13 \s QOQUYW000081 \xpl 1 \l "(R. at 14-15)" </w:instrText>
      </w:r>
      <w:r w:rsidR="00DF0559" w:rsidRPr="00E52611">
        <w:fldChar w:fldCharType="end"/>
      </w:r>
      <w:bookmarkStart w:id="81" w:name="_BA_Cite_194"/>
      <w:r w:rsidR="00BB25C4" w:rsidRPr="00E52611">
        <w:t>(R</w:t>
      </w:r>
      <w:r w:rsidR="00413003" w:rsidRPr="00E52611">
        <w:t>.</w:t>
      </w:r>
      <w:r w:rsidR="00BB25C4" w:rsidRPr="00E52611">
        <w:t xml:space="preserve"> at 14-15)</w:t>
      </w:r>
      <w:bookmarkEnd w:id="81"/>
      <w:r w:rsidR="00BB25C4" w:rsidRPr="00E52611">
        <w:t xml:space="preserve">. Rather, </w:t>
      </w:r>
      <w:r w:rsidR="00D04EE4" w:rsidRPr="00E52611">
        <w:t>the appropriations laws fall</w:t>
      </w:r>
      <w:r w:rsidR="00DB3A8F" w:rsidRPr="00E52611">
        <w:t xml:space="preserve"> under the historical </w:t>
      </w:r>
      <w:r w:rsidR="00D04EE4" w:rsidRPr="00E52611">
        <w:t xml:space="preserve">definition </w:t>
      </w:r>
      <w:r w:rsidR="007475CA" w:rsidRPr="00E52611">
        <w:t>of punishment</w:t>
      </w:r>
      <w:r w:rsidR="00D821C1" w:rsidRPr="00E52611">
        <w:t xml:space="preserve"> because (1) they p</w:t>
      </w:r>
      <w:r w:rsidR="006528B1" w:rsidRPr="00E52611">
        <w:t xml:space="preserve">unish </w:t>
      </w:r>
      <w:r w:rsidR="007475CA" w:rsidRPr="00E52611">
        <w:t>ACORN and its affiliates</w:t>
      </w:r>
      <w:r w:rsidR="006528B1" w:rsidRPr="00E52611">
        <w:t xml:space="preserve"> for</w:t>
      </w:r>
      <w:r w:rsidR="00D821C1" w:rsidRPr="00E52611">
        <w:t xml:space="preserve"> exercising their </w:t>
      </w:r>
      <w:r w:rsidR="007475CA" w:rsidRPr="00E52611">
        <w:t>political liberty; (2) they mark</w:t>
      </w:r>
      <w:r w:rsidR="00DB3A8F" w:rsidRPr="00E52611">
        <w:t xml:space="preserve"> ACORN and its affiliates</w:t>
      </w:r>
      <w:r w:rsidR="007475CA" w:rsidRPr="00E52611">
        <w:t xml:space="preserve"> with a “n</w:t>
      </w:r>
      <w:r w:rsidR="00710996" w:rsidRPr="00E52611">
        <w:t xml:space="preserve">ote of infamy”; </w:t>
      </w:r>
      <w:r w:rsidR="00A53330" w:rsidRPr="00E52611">
        <w:t>and</w:t>
      </w:r>
      <w:r w:rsidR="00A06885" w:rsidRPr="00E52611">
        <w:t xml:space="preserve"> </w:t>
      </w:r>
      <w:r w:rsidR="00A06885" w:rsidRPr="00E52611">
        <w:lastRenderedPageBreak/>
        <w:t>(3)</w:t>
      </w:r>
      <w:r w:rsidR="00810079" w:rsidRPr="00E52611">
        <w:t xml:space="preserve"> they</w:t>
      </w:r>
      <w:r w:rsidR="004B56E7">
        <w:t xml:space="preserve"> effectively disqualif</w:t>
      </w:r>
      <w:r w:rsidR="00810079" w:rsidRPr="00E52611">
        <w:t>y</w:t>
      </w:r>
      <w:r w:rsidR="00DB3A8F" w:rsidRPr="00E52611">
        <w:t xml:space="preserve"> ACORN and its affi</w:t>
      </w:r>
      <w:r w:rsidR="00A06885" w:rsidRPr="00E52611">
        <w:t xml:space="preserve">liates </w:t>
      </w:r>
      <w:r w:rsidR="004B56E7">
        <w:t>from practicing a key area of their employment</w:t>
      </w:r>
      <w:r w:rsidR="00B14002">
        <w:t xml:space="preserve">. </w:t>
      </w:r>
      <w:r w:rsidR="00DB3A8F" w:rsidRPr="00E52611">
        <w:t xml:space="preserve"> </w:t>
      </w:r>
    </w:p>
    <w:p w:rsidR="00E940CB" w:rsidRPr="00E52611" w:rsidRDefault="00E940CB" w:rsidP="00E229C9">
      <w:pPr>
        <w:pStyle w:val="Heading4"/>
        <w:numPr>
          <w:ilvl w:val="0"/>
          <w:numId w:val="16"/>
        </w:numPr>
        <w:tabs>
          <w:tab w:val="left" w:pos="2070"/>
        </w:tabs>
        <w:ind w:left="2070" w:hanging="630"/>
        <w:rPr>
          <w:i w:val="0"/>
          <w:u w:val="single"/>
        </w:rPr>
      </w:pPr>
      <w:r w:rsidRPr="00E52611">
        <w:rPr>
          <w:i w:val="0"/>
          <w:u w:val="single"/>
        </w:rPr>
        <w:t xml:space="preserve">The Appropriations Laws </w:t>
      </w:r>
      <w:r w:rsidR="00BB2185" w:rsidRPr="00E52611">
        <w:rPr>
          <w:i w:val="0"/>
          <w:u w:val="single"/>
        </w:rPr>
        <w:t>Punish</w:t>
      </w:r>
      <w:r w:rsidRPr="00E52611">
        <w:rPr>
          <w:i w:val="0"/>
          <w:u w:val="single"/>
        </w:rPr>
        <w:t xml:space="preserve"> ACORN and Its Affiliates </w:t>
      </w:r>
      <w:r w:rsidR="0001160D" w:rsidRPr="00E52611">
        <w:rPr>
          <w:i w:val="0"/>
          <w:u w:val="single"/>
        </w:rPr>
        <w:t xml:space="preserve">for Exercising their </w:t>
      </w:r>
      <w:r w:rsidRPr="00E52611">
        <w:rPr>
          <w:i w:val="0"/>
          <w:u w:val="single"/>
        </w:rPr>
        <w:t xml:space="preserve">Political Liberty </w:t>
      </w:r>
    </w:p>
    <w:p w:rsidR="002A3464" w:rsidRPr="00E52611" w:rsidRDefault="002A3464" w:rsidP="002A3464"/>
    <w:p w:rsidR="0031088A" w:rsidRPr="00E52611" w:rsidRDefault="00F65EB0" w:rsidP="0024026B">
      <w:pPr>
        <w:spacing w:line="480" w:lineRule="auto"/>
      </w:pPr>
      <w:r w:rsidRPr="00E52611">
        <w:tab/>
      </w:r>
      <w:r w:rsidR="003E43FF" w:rsidRPr="00E52611">
        <w:t xml:space="preserve"> </w:t>
      </w:r>
      <w:r w:rsidR="00312038" w:rsidRPr="00E52611">
        <w:t>“The B</w:t>
      </w:r>
      <w:r w:rsidRPr="00E52611">
        <w:t xml:space="preserve">ill of </w:t>
      </w:r>
      <w:r w:rsidR="00DF0559" w:rsidRPr="00E52611">
        <w:fldChar w:fldCharType="begin"/>
      </w:r>
      <w:r w:rsidR="00E52611" w:rsidRPr="00E52611">
        <w:instrText xml:space="preserve"> ADDIN BA \xc &lt;@$osdv&gt; \xl 16 \s QOQUYW000079 </w:instrText>
      </w:r>
      <w:r w:rsidR="00DF0559" w:rsidRPr="00E52611">
        <w:fldChar w:fldCharType="end"/>
      </w:r>
      <w:bookmarkStart w:id="82" w:name="_BA_Cite_195"/>
      <w:r w:rsidRPr="00E52611">
        <w:t>Attainder Clause</w:t>
      </w:r>
      <w:bookmarkEnd w:id="82"/>
      <w:r w:rsidRPr="00E52611">
        <w:t xml:space="preserve"> has long been </w:t>
      </w:r>
      <w:r w:rsidR="00137442" w:rsidRPr="00E52611">
        <w:t>re</w:t>
      </w:r>
      <w:r w:rsidRPr="00E52611">
        <w:t xml:space="preserve">garded as protecting unpopular individuals or groups from trial-by-legislature.” </w:t>
      </w:r>
      <w:r w:rsidR="00DF0559" w:rsidRPr="00E52611">
        <w:fldChar w:fldCharType="begin"/>
      </w:r>
      <w:r w:rsidR="00E52611" w:rsidRPr="00E52611">
        <w:instrText xml:space="preserve"> ADDIN BA \xc &lt;@$cs&gt; \xl 44 \s QOQUYW000023 \xhfl Rep </w:instrText>
      </w:r>
      <w:r w:rsidR="00DF0559" w:rsidRPr="00E52611">
        <w:fldChar w:fldCharType="end"/>
      </w:r>
      <w:r w:rsidRPr="00E52611">
        <w:rPr>
          <w:i/>
        </w:rPr>
        <w:t>SBC</w:t>
      </w:r>
      <w:r w:rsidRPr="00E52611">
        <w:t xml:space="preserve">, 154 F.3d at 251 (Smith, J., dissenting). </w:t>
      </w:r>
    </w:p>
    <w:p w:rsidR="00EA7E22" w:rsidRPr="00E52611" w:rsidRDefault="0031088A" w:rsidP="0024026B">
      <w:pPr>
        <w:spacing w:line="480" w:lineRule="auto"/>
        <w:rPr>
          <w:rFonts w:eastAsia="Times New Roman"/>
          <w:lang w:eastAsia="en-US"/>
        </w:rPr>
      </w:pPr>
      <w:r w:rsidRPr="00E52611">
        <w:tab/>
        <w:t xml:space="preserve">In England, </w:t>
      </w:r>
      <w:r w:rsidR="0024121A" w:rsidRPr="00E52611">
        <w:t xml:space="preserve">Parliament passed </w:t>
      </w:r>
      <w:r w:rsidRPr="00E52611">
        <w:t xml:space="preserve">bills of attainder and pains and penalties </w:t>
      </w:r>
      <w:r w:rsidR="0024121A" w:rsidRPr="00E52611">
        <w:t>“</w:t>
      </w:r>
      <w:r w:rsidR="0024121A" w:rsidRPr="00E52611">
        <w:rPr>
          <w:rFonts w:eastAsia="Times New Roman"/>
          <w:lang w:eastAsia="en-US"/>
        </w:rPr>
        <w:t>in times of rebellion, or gross subserviency to the crown, or of violent political excitements; periods, in which</w:t>
      </w:r>
      <w:r w:rsidR="007C1FA1" w:rsidRPr="00E52611">
        <w:rPr>
          <w:rFonts w:eastAsia="Times New Roman"/>
          <w:lang w:eastAsia="en-US"/>
        </w:rPr>
        <w:t>[ ]</w:t>
      </w:r>
      <w:r w:rsidR="0024121A" w:rsidRPr="00E52611">
        <w:rPr>
          <w:rFonts w:eastAsia="Times New Roman"/>
          <w:lang w:eastAsia="en-US"/>
        </w:rPr>
        <w:t xml:space="preserve"> nations are most liable . . . to forget their duties, and to trample upon the rights and liberties of others.’” </w:t>
      </w:r>
      <w:r w:rsidR="0024121A" w:rsidRPr="00E52611">
        <w:t xml:space="preserve"> </w:t>
      </w:r>
      <w:r w:rsidR="00DF0559" w:rsidRPr="00E52611">
        <w:fldChar w:fldCharType="begin"/>
      </w:r>
      <w:r w:rsidR="00E52611" w:rsidRPr="00E52611">
        <w:instrText xml:space="preserve"> ADDIN BA \xc &lt;@cs&gt; \xl 45 \s QOQUYW000038 \xhfl Rep \l "</w:instrText>
      </w:r>
      <w:r w:rsidR="00E52611" w:rsidRPr="00E52611">
        <w:rPr>
          <w:i/>
        </w:rPr>
        <w:instrText>Cummings v. Missouri</w:instrText>
      </w:r>
      <w:r w:rsidR="00E52611" w:rsidRPr="00E52611">
        <w:instrText xml:space="preserve">,&lt;SoftRt&gt; </w:instrText>
      </w:r>
      <w:r w:rsidR="00E52611" w:rsidRPr="00E52611">
        <w:rPr>
          <w:rFonts w:eastAsia="Times New Roman"/>
          <w:lang w:eastAsia="en-US"/>
        </w:rPr>
        <w:instrText>71 U.S. 277 (1866)</w:instrText>
      </w:r>
      <w:r w:rsidR="00E52611" w:rsidRPr="00E52611">
        <w:instrText xml:space="preserve">" </w:instrText>
      </w:r>
      <w:r w:rsidR="00DF0559" w:rsidRPr="00E52611">
        <w:fldChar w:fldCharType="end"/>
      </w:r>
      <w:bookmarkStart w:id="83" w:name="_BA_Cite_196"/>
      <w:r w:rsidR="00560D87" w:rsidRPr="00E52611">
        <w:rPr>
          <w:i/>
        </w:rPr>
        <w:t>Cummings</w:t>
      </w:r>
      <w:r w:rsidR="00E506F5" w:rsidRPr="00E52611">
        <w:rPr>
          <w:i/>
        </w:rPr>
        <w:t xml:space="preserve"> v. Missouri</w:t>
      </w:r>
      <w:r w:rsidR="00560D87" w:rsidRPr="00E52611">
        <w:t xml:space="preserve">, </w:t>
      </w:r>
      <w:r w:rsidR="00E506F5" w:rsidRPr="00E52611">
        <w:rPr>
          <w:rFonts w:eastAsia="Times New Roman"/>
          <w:lang w:eastAsia="en-US"/>
        </w:rPr>
        <w:t>71 U.S. 277,</w:t>
      </w:r>
      <w:r w:rsidR="00560D87" w:rsidRPr="00E52611">
        <w:rPr>
          <w:rFonts w:eastAsia="Times New Roman"/>
          <w:lang w:eastAsia="en-US"/>
        </w:rPr>
        <w:t xml:space="preserve"> 323</w:t>
      </w:r>
      <w:r w:rsidR="00E506F5" w:rsidRPr="00E52611">
        <w:rPr>
          <w:rFonts w:eastAsia="Times New Roman"/>
          <w:lang w:eastAsia="en-US"/>
        </w:rPr>
        <w:t xml:space="preserve"> (1866)</w:t>
      </w:r>
      <w:bookmarkEnd w:id="83"/>
      <w:r w:rsidR="0024121A" w:rsidRPr="00E52611">
        <w:rPr>
          <w:rFonts w:eastAsia="Times New Roman"/>
          <w:lang w:eastAsia="en-US"/>
        </w:rPr>
        <w:t xml:space="preserve"> </w:t>
      </w:r>
      <w:r w:rsidRPr="00E52611">
        <w:rPr>
          <w:rFonts w:eastAsia="Times New Roman"/>
          <w:lang w:eastAsia="en-US"/>
        </w:rPr>
        <w:t xml:space="preserve">(quoting </w:t>
      </w:r>
      <w:r w:rsidR="00DF0559" w:rsidRPr="00E52611">
        <w:fldChar w:fldCharType="begin"/>
      </w:r>
      <w:r w:rsidR="00E52611" w:rsidRPr="00E52611">
        <w:instrText xml:space="preserve"> ADDIN BA \xc &lt;@nper&gt; \xl 47 \s QOQUYW000082 \xqt \xpl 1 \l "</w:instrText>
      </w:r>
      <w:r w:rsidR="00E52611" w:rsidRPr="00E52611">
        <w:rPr>
          <w:rFonts w:eastAsia="Times New Roman"/>
          <w:lang w:eastAsia="en-US"/>
        </w:rPr>
        <w:instrText xml:space="preserve">Story, </w:instrText>
      </w:r>
      <w:r w:rsidR="00E52611" w:rsidRPr="00E52611">
        <w:rPr>
          <w:rFonts w:eastAsia="Times New Roman"/>
          <w:i/>
          <w:lang w:eastAsia="en-US"/>
        </w:rPr>
        <w:instrText>Commentaries on the Constitution</w:instrText>
      </w:r>
      <w:r w:rsidR="00E52611" w:rsidRPr="00E52611">
        <w:rPr>
          <w:rFonts w:eastAsia="Times New Roman"/>
          <w:lang w:eastAsia="en-US"/>
        </w:rPr>
        <w:instrText>, § 1344</w:instrText>
      </w:r>
      <w:r w:rsidR="00E52611" w:rsidRPr="00E52611">
        <w:instrText xml:space="preserve">" </w:instrText>
      </w:r>
      <w:r w:rsidR="00DF0559" w:rsidRPr="00E52611">
        <w:fldChar w:fldCharType="end"/>
      </w:r>
      <w:r w:rsidRPr="00E52611">
        <w:rPr>
          <w:rFonts w:eastAsia="Times New Roman"/>
          <w:lang w:eastAsia="en-US"/>
        </w:rPr>
        <w:t xml:space="preserve">Story, </w:t>
      </w:r>
      <w:r w:rsidRPr="00E52611">
        <w:rPr>
          <w:rFonts w:eastAsia="Times New Roman"/>
          <w:i/>
          <w:lang w:eastAsia="en-US"/>
        </w:rPr>
        <w:t>Commentaries on the Constitution</w:t>
      </w:r>
      <w:r w:rsidR="00D64A52" w:rsidRPr="00E52611">
        <w:rPr>
          <w:rFonts w:eastAsia="Times New Roman"/>
          <w:lang w:eastAsia="en-US"/>
        </w:rPr>
        <w:t>, § 1344)</w:t>
      </w:r>
      <w:r w:rsidR="00253537" w:rsidRPr="00E52611">
        <w:rPr>
          <w:rFonts w:eastAsia="Times New Roman"/>
          <w:lang w:eastAsia="en-US"/>
        </w:rPr>
        <w:t>.</w:t>
      </w:r>
      <w:r w:rsidR="00D64A52" w:rsidRPr="00E52611">
        <w:rPr>
          <w:rFonts w:eastAsia="Times New Roman"/>
          <w:lang w:eastAsia="en-US"/>
        </w:rPr>
        <w:t xml:space="preserve"> </w:t>
      </w:r>
      <w:r w:rsidR="00E76590" w:rsidRPr="00E52611">
        <w:rPr>
          <w:rFonts w:eastAsia="Times New Roman"/>
          <w:lang w:eastAsia="en-US"/>
        </w:rPr>
        <w:t xml:space="preserve">Thus </w:t>
      </w:r>
      <w:r w:rsidR="007D4C1E" w:rsidRPr="00E52611">
        <w:rPr>
          <w:rFonts w:eastAsia="Times New Roman"/>
          <w:lang w:eastAsia="en-US"/>
        </w:rPr>
        <w:t>with</w:t>
      </w:r>
      <w:r w:rsidR="00E76590" w:rsidRPr="00E52611">
        <w:rPr>
          <w:rFonts w:eastAsia="Times New Roman"/>
          <w:lang w:eastAsia="en-US"/>
        </w:rPr>
        <w:t xml:space="preserve"> </w:t>
      </w:r>
      <w:r w:rsidR="00EF5777" w:rsidRPr="00E52611">
        <w:rPr>
          <w:rFonts w:eastAsia="Times New Roman"/>
          <w:lang w:eastAsia="en-US"/>
        </w:rPr>
        <w:t xml:space="preserve">the Bill of </w:t>
      </w:r>
      <w:r w:rsidR="00DF0559" w:rsidRPr="00E52611">
        <w:fldChar w:fldCharType="begin"/>
      </w:r>
      <w:r w:rsidR="00E52611" w:rsidRPr="00E52611">
        <w:instrText xml:space="preserve"> ADDIN BA \xc &lt;@$osdv&gt; \xl 17 \s QOQUYW000074 </w:instrText>
      </w:r>
      <w:r w:rsidR="00DF0559" w:rsidRPr="00E52611">
        <w:fldChar w:fldCharType="end"/>
      </w:r>
      <w:r w:rsidR="00EF5777" w:rsidRPr="00E52611">
        <w:rPr>
          <w:rFonts w:eastAsia="Times New Roman"/>
          <w:lang w:eastAsia="en-US"/>
        </w:rPr>
        <w:t xml:space="preserve">Attainder Clauses, </w:t>
      </w:r>
      <w:r w:rsidR="00B14002">
        <w:rPr>
          <w:rFonts w:eastAsia="Times New Roman"/>
          <w:lang w:eastAsia="en-US"/>
        </w:rPr>
        <w:t xml:space="preserve">the Framers </w:t>
      </w:r>
      <w:r w:rsidR="00EF5777" w:rsidRPr="00E52611">
        <w:rPr>
          <w:rFonts w:eastAsia="Times New Roman"/>
          <w:lang w:eastAsia="en-US"/>
        </w:rPr>
        <w:t xml:space="preserve">meant to protect the politically unpopular from the whims of Congress. </w:t>
      </w:r>
      <w:r w:rsidR="00932D43" w:rsidRPr="00E52611">
        <w:rPr>
          <w:rFonts w:eastAsia="Times New Roman"/>
          <w:i/>
          <w:lang w:eastAsia="en-US"/>
        </w:rPr>
        <w:t xml:space="preserve">See </w:t>
      </w:r>
      <w:r w:rsidR="00DF0559" w:rsidRPr="00E52611">
        <w:fldChar w:fldCharType="begin"/>
      </w:r>
      <w:r w:rsidR="00E52611" w:rsidRPr="00E52611">
        <w:instrText xml:space="preserve"> ADDIN BA \xc &lt;@$id&gt; \xl 10 \s ID \xhfl Rep </w:instrText>
      </w:r>
      <w:r w:rsidR="00DF0559" w:rsidRPr="00E52611">
        <w:fldChar w:fldCharType="end"/>
      </w:r>
      <w:r w:rsidR="00932D43" w:rsidRPr="00E52611">
        <w:rPr>
          <w:rFonts w:eastAsia="Times New Roman"/>
          <w:i/>
          <w:lang w:eastAsia="en-US"/>
        </w:rPr>
        <w:t>i</w:t>
      </w:r>
      <w:r w:rsidR="008054D1" w:rsidRPr="00E52611">
        <w:rPr>
          <w:rFonts w:eastAsia="Times New Roman"/>
          <w:i/>
          <w:lang w:eastAsia="en-US"/>
        </w:rPr>
        <w:t xml:space="preserve">d. </w:t>
      </w:r>
      <w:r w:rsidR="008054D1" w:rsidRPr="00E52611">
        <w:rPr>
          <w:rFonts w:eastAsia="Times New Roman"/>
          <w:lang w:eastAsia="en-US"/>
        </w:rPr>
        <w:t xml:space="preserve">at 322. </w:t>
      </w:r>
    </w:p>
    <w:p w:rsidR="00863418" w:rsidRPr="00E52611" w:rsidRDefault="00450ED7" w:rsidP="00513893">
      <w:pPr>
        <w:spacing w:line="480" w:lineRule="auto"/>
        <w:ind w:firstLine="720"/>
      </w:pPr>
      <w:r w:rsidRPr="00E52611">
        <w:t>In</w:t>
      </w:r>
      <w:r w:rsidR="009C32AF" w:rsidRPr="00E52611">
        <w:t xml:space="preserve"> all five cases where the Court </w:t>
      </w:r>
      <w:r w:rsidR="008C0C99" w:rsidRPr="00E52611">
        <w:t>held</w:t>
      </w:r>
      <w:r w:rsidR="001C4EF8" w:rsidRPr="00E52611">
        <w:t xml:space="preserve"> that</w:t>
      </w:r>
      <w:r w:rsidR="00CA2F6C" w:rsidRPr="00E52611">
        <w:t xml:space="preserve"> </w:t>
      </w:r>
      <w:r w:rsidR="002600AC" w:rsidRPr="00E52611">
        <w:t>disputed</w:t>
      </w:r>
      <w:r w:rsidR="009C32AF" w:rsidRPr="00E52611">
        <w:t xml:space="preserve"> legislation constituted </w:t>
      </w:r>
      <w:r w:rsidR="005850CC" w:rsidRPr="00E52611">
        <w:t xml:space="preserve">attainder, “the context of the Court’s ruling was protection of political liberty.” </w:t>
      </w:r>
      <w:r w:rsidR="00DF0559" w:rsidRPr="00E52611">
        <w:fldChar w:fldCharType="begin"/>
      </w:r>
      <w:r w:rsidR="00E52611" w:rsidRPr="00E52611">
        <w:instrText xml:space="preserve"> ADDIN BA \xc &lt;@rec&gt; \xl 10 \s QOQUYW000083 \xpl 1 \l "(R. at 36)" </w:instrText>
      </w:r>
      <w:r w:rsidR="00DF0559" w:rsidRPr="00E52611">
        <w:fldChar w:fldCharType="end"/>
      </w:r>
      <w:bookmarkStart w:id="84" w:name="_BA_Cite_197"/>
      <w:r w:rsidR="006232BD" w:rsidRPr="00E52611">
        <w:t>(R. at 36</w:t>
      </w:r>
      <w:r w:rsidR="00661013" w:rsidRPr="00E52611">
        <w:t>)</w:t>
      </w:r>
      <w:bookmarkEnd w:id="84"/>
      <w:r w:rsidR="00661013" w:rsidRPr="00E52611">
        <w:t>.</w:t>
      </w:r>
      <w:r w:rsidR="00AB3147" w:rsidRPr="00E52611">
        <w:t xml:space="preserve"> Each of </w:t>
      </w:r>
      <w:r w:rsidR="0038637B" w:rsidRPr="00E52611">
        <w:t xml:space="preserve">these laws </w:t>
      </w:r>
      <w:r w:rsidR="00235E49" w:rsidRPr="00E52611">
        <w:t>was passed during a time</w:t>
      </w:r>
      <w:r w:rsidR="005850CC" w:rsidRPr="00E52611">
        <w:t xml:space="preserve"> of great national unrest</w:t>
      </w:r>
      <w:r w:rsidR="0087002F" w:rsidRPr="00E52611">
        <w:t>–Reconstruction and the Cold War–</w:t>
      </w:r>
      <w:r w:rsidR="00EC19A3" w:rsidRPr="00E52611">
        <w:t xml:space="preserve">and </w:t>
      </w:r>
      <w:r w:rsidR="00235E49" w:rsidRPr="00E52611">
        <w:t xml:space="preserve">intended to punish </w:t>
      </w:r>
      <w:r w:rsidR="00EC19A3" w:rsidRPr="00E52611">
        <w:t>members of a</w:t>
      </w:r>
      <w:r w:rsidR="006D529B" w:rsidRPr="00E52611">
        <w:t xml:space="preserve">n </w:t>
      </w:r>
      <w:r w:rsidR="00EC19A3" w:rsidRPr="00E52611">
        <w:t>unpopular group</w:t>
      </w:r>
      <w:r w:rsidR="005850CC" w:rsidRPr="00E52611">
        <w:t xml:space="preserve">. </w:t>
      </w:r>
      <w:r w:rsidR="00FF6AFE" w:rsidRPr="00E52611">
        <w:t>(</w:t>
      </w:r>
      <w:r w:rsidR="00FF6AFE" w:rsidRPr="00E52611">
        <w:rPr>
          <w:i/>
        </w:rPr>
        <w:t xml:space="preserve">See </w:t>
      </w:r>
      <w:r w:rsidR="00DF0559" w:rsidRPr="00E52611">
        <w:fldChar w:fldCharType="begin"/>
      </w:r>
      <w:r w:rsidR="00E52611" w:rsidRPr="00E52611">
        <w:instrText xml:space="preserve"> ADDIN BA \xc &lt;@$id&gt; \xl 3 \s ID \xpl 1 </w:instrText>
      </w:r>
      <w:r w:rsidR="00DF0559" w:rsidRPr="00E52611">
        <w:fldChar w:fldCharType="end"/>
      </w:r>
      <w:r w:rsidR="00FF6AFE" w:rsidRPr="00E52611">
        <w:rPr>
          <w:i/>
        </w:rPr>
        <w:t>id.</w:t>
      </w:r>
      <w:r w:rsidR="00FF6AFE" w:rsidRPr="00E52611">
        <w:t>)</w:t>
      </w:r>
    </w:p>
    <w:p w:rsidR="00E40579" w:rsidRPr="00E52611" w:rsidRDefault="00DF0559" w:rsidP="00513893">
      <w:pPr>
        <w:spacing w:line="480" w:lineRule="auto"/>
        <w:ind w:firstLine="720"/>
      </w:pPr>
      <w:r w:rsidRPr="00E52611">
        <w:fldChar w:fldCharType="begin"/>
      </w:r>
      <w:r w:rsidR="00E52611" w:rsidRPr="00E52611">
        <w:instrText xml:space="preserve"> ADDIN BA \xc &lt;@$cs&gt; \xl 33 \s QOQUYW000038 \xhfl Rep </w:instrText>
      </w:r>
      <w:r w:rsidRPr="00E52611">
        <w:fldChar w:fldCharType="end"/>
      </w:r>
      <w:r w:rsidR="00B61738" w:rsidRPr="00E52611">
        <w:rPr>
          <w:i/>
        </w:rPr>
        <w:t>Cummings v. Missouri</w:t>
      </w:r>
      <w:r w:rsidR="00B61738" w:rsidRPr="00E52611">
        <w:t>, 71 U.S. 277</w:t>
      </w:r>
      <w:r w:rsidR="00157EFF" w:rsidRPr="00E52611">
        <w:t xml:space="preserve">, </w:t>
      </w:r>
      <w:r w:rsidRPr="00E52611">
        <w:fldChar w:fldCharType="begin"/>
      </w:r>
      <w:r w:rsidR="00E52611" w:rsidRPr="00E52611">
        <w:instrText xml:space="preserve"> ADDIN BA \xc &lt;@cs&gt; \xl 36 \s QOQUYW000039 \xhfl Rep \l "</w:instrText>
      </w:r>
      <w:r w:rsidR="00E52611" w:rsidRPr="00E52611">
        <w:rPr>
          <w:i/>
        </w:rPr>
        <w:instrText>Ex parte Garland</w:instrText>
      </w:r>
      <w:r w:rsidR="00E52611" w:rsidRPr="00E52611">
        <w:instrText xml:space="preserve">,&lt;SoftRt&gt; 71 U.S. 333 (1866)" </w:instrText>
      </w:r>
      <w:r w:rsidRPr="00E52611">
        <w:fldChar w:fldCharType="end"/>
      </w:r>
      <w:bookmarkStart w:id="85" w:name="_BA_Cite_198"/>
      <w:r w:rsidR="00B15EB9" w:rsidRPr="00E52611">
        <w:rPr>
          <w:i/>
        </w:rPr>
        <w:t>Ex parte Garland</w:t>
      </w:r>
      <w:r w:rsidR="00B15EB9" w:rsidRPr="00E52611">
        <w:t>, 71 U.S. 333 (1866)</w:t>
      </w:r>
      <w:bookmarkEnd w:id="85"/>
      <w:r w:rsidR="00B15EB9" w:rsidRPr="00E52611">
        <w:t xml:space="preserve">, and </w:t>
      </w:r>
      <w:r w:rsidRPr="00E52611">
        <w:fldChar w:fldCharType="begin"/>
      </w:r>
      <w:r w:rsidR="00E52611" w:rsidRPr="00E52611">
        <w:instrText xml:space="preserve"> ADDIN BA \xc &lt;@cs&gt; \xl 39 \s QOQUYW000040 \xhfl Rep \l "</w:instrText>
      </w:r>
      <w:r w:rsidR="00E52611" w:rsidRPr="00E52611">
        <w:rPr>
          <w:i/>
        </w:rPr>
        <w:instrText>Pierce v. Carskadon</w:instrText>
      </w:r>
      <w:r w:rsidR="00E52611" w:rsidRPr="00E52611">
        <w:instrText xml:space="preserve">,&lt;SoftRt&gt; 83 U.S. 234 (1872)" </w:instrText>
      </w:r>
      <w:r w:rsidRPr="00E52611">
        <w:fldChar w:fldCharType="end"/>
      </w:r>
      <w:bookmarkStart w:id="86" w:name="_BA_Cite_199"/>
      <w:r w:rsidR="00157EFF" w:rsidRPr="00E52611">
        <w:rPr>
          <w:i/>
        </w:rPr>
        <w:t>Pierce v. Carskadon</w:t>
      </w:r>
      <w:r w:rsidR="00FE1B8C" w:rsidRPr="00E52611">
        <w:t>, 83 U.S. 234 (1872)</w:t>
      </w:r>
      <w:bookmarkEnd w:id="86"/>
      <w:r w:rsidR="00B61738" w:rsidRPr="00E52611">
        <w:t xml:space="preserve"> </w:t>
      </w:r>
      <w:r w:rsidR="00F05C19" w:rsidRPr="00E52611">
        <w:t xml:space="preserve">involved state and federal measures intended to </w:t>
      </w:r>
      <w:r w:rsidR="002732EE" w:rsidRPr="00E52611">
        <w:t>punish</w:t>
      </w:r>
      <w:r w:rsidR="00C36276" w:rsidRPr="00E52611">
        <w:t xml:space="preserve"> ex-Confederates. </w:t>
      </w:r>
      <w:r w:rsidRPr="00E52611">
        <w:fldChar w:fldCharType="begin"/>
      </w:r>
      <w:r w:rsidR="00E52611" w:rsidRPr="00E52611">
        <w:instrText xml:space="preserve"> ADDIN BA \xc &lt;@$cs&gt; \xl 8 \s QOQUYW000038 </w:instrText>
      </w:r>
      <w:r w:rsidRPr="00E52611">
        <w:fldChar w:fldCharType="end"/>
      </w:r>
      <w:r w:rsidR="005B16B2" w:rsidRPr="00E52611">
        <w:rPr>
          <w:i/>
        </w:rPr>
        <w:t xml:space="preserve">Cummings </w:t>
      </w:r>
      <w:r w:rsidR="0007351F" w:rsidRPr="00E52611">
        <w:t>concerned</w:t>
      </w:r>
      <w:r w:rsidR="005B16B2" w:rsidRPr="00E52611">
        <w:t xml:space="preserve"> a </w:t>
      </w:r>
      <w:r w:rsidR="005B16B2" w:rsidRPr="00E52611">
        <w:lastRenderedPageBreak/>
        <w:t xml:space="preserve">statute requiring Missouri clergymen to take an oath that they had never been a member of a group ‘‘inimical to the government of the United States.” </w:t>
      </w:r>
      <w:r w:rsidRPr="00E52611">
        <w:fldChar w:fldCharType="begin"/>
      </w:r>
      <w:r w:rsidR="00E52611" w:rsidRPr="00E52611">
        <w:instrText xml:space="preserve"> ADDIN BA \xc &lt;@$cs&gt; \xl 14 \s QOQUYW000039 \xhfl Rep </w:instrText>
      </w:r>
      <w:r w:rsidRPr="00E52611">
        <w:fldChar w:fldCharType="end"/>
      </w:r>
      <w:bookmarkStart w:id="87" w:name="_BA_Cite_200"/>
      <w:r w:rsidR="005B16B2" w:rsidRPr="00E52611">
        <w:t>71 U.S. at 333</w:t>
      </w:r>
      <w:bookmarkEnd w:id="87"/>
      <w:r w:rsidR="00BE2B3E" w:rsidRPr="00E52611">
        <w:t xml:space="preserve">. </w:t>
      </w:r>
      <w:r w:rsidR="00CE63D6" w:rsidRPr="00E52611">
        <w:t xml:space="preserve">Noting that the Missouri legislature drafted the </w:t>
      </w:r>
      <w:r w:rsidR="0007351F" w:rsidRPr="00E52611">
        <w:t xml:space="preserve">provision during the Civil War </w:t>
      </w:r>
      <w:r w:rsidR="00CE63D6" w:rsidRPr="00E52611">
        <w:t xml:space="preserve">and </w:t>
      </w:r>
      <w:r w:rsidR="0007351F" w:rsidRPr="00E52611">
        <w:t xml:space="preserve">in the midst of </w:t>
      </w:r>
      <w:r w:rsidR="00CE63D6" w:rsidRPr="00E52611">
        <w:t>the “</w:t>
      </w:r>
      <w:r w:rsidR="00CE63D6" w:rsidRPr="00E52611">
        <w:rPr>
          <w:rFonts w:eastAsia="Times New Roman"/>
          <w:lang w:eastAsia="en-US"/>
        </w:rPr>
        <w:t>fierce passions which that struggle aroused,” t</w:t>
      </w:r>
      <w:r w:rsidR="00D542FA" w:rsidRPr="00E52611">
        <w:t>he</w:t>
      </w:r>
      <w:r w:rsidR="00F05C19" w:rsidRPr="00E52611">
        <w:t xml:space="preserve"> Court held that it was </w:t>
      </w:r>
      <w:r w:rsidR="00A66B1F" w:rsidRPr="00E52611">
        <w:t xml:space="preserve">“beyond the competency of the state” to punish Cummings for </w:t>
      </w:r>
      <w:r w:rsidR="00D542FA" w:rsidRPr="00E52611">
        <w:t>his prior</w:t>
      </w:r>
      <w:r w:rsidR="00A66B1F" w:rsidRPr="00E52611">
        <w:t xml:space="preserve"> pro-Confederate </w:t>
      </w:r>
      <w:r w:rsidR="00D542FA" w:rsidRPr="00E52611">
        <w:t>sympathies</w:t>
      </w:r>
      <w:r w:rsidR="00A66B1F" w:rsidRPr="00E52611">
        <w:t xml:space="preserve">. </w:t>
      </w:r>
      <w:r w:rsidRPr="00E52611">
        <w:fldChar w:fldCharType="begin"/>
      </w:r>
      <w:r w:rsidR="00E52611" w:rsidRPr="00E52611">
        <w:instrText xml:space="preserve"> ADDIN BA \xc &lt;@$id&gt; \xl 15 \s QOQUYW000038 \xhfl Rep </w:instrText>
      </w:r>
      <w:r w:rsidRPr="00E52611">
        <w:fldChar w:fldCharType="end"/>
      </w:r>
      <w:r w:rsidR="00A66B1F" w:rsidRPr="00E52611">
        <w:rPr>
          <w:i/>
        </w:rPr>
        <w:t xml:space="preserve">Id. </w:t>
      </w:r>
      <w:r w:rsidR="00A66B1F" w:rsidRPr="00E52611">
        <w:t xml:space="preserve">at </w:t>
      </w:r>
      <w:r w:rsidR="00CE63D6" w:rsidRPr="00E52611">
        <w:t xml:space="preserve">322, </w:t>
      </w:r>
      <w:r w:rsidR="00A66B1F" w:rsidRPr="00E52611">
        <w:t>288</w:t>
      </w:r>
      <w:r w:rsidR="00FE1B8C" w:rsidRPr="00E52611">
        <w:t xml:space="preserve">; </w:t>
      </w:r>
      <w:r w:rsidR="00C553C0" w:rsidRPr="00E52611">
        <w:rPr>
          <w:i/>
          <w:iCs/>
        </w:rPr>
        <w:t xml:space="preserve">see also </w:t>
      </w:r>
      <w:r w:rsidRPr="00E52611">
        <w:fldChar w:fldCharType="begin"/>
      </w:r>
      <w:r w:rsidR="00E52611" w:rsidRPr="00E52611">
        <w:instrText xml:space="preserve"> ADDIN BA \xc &lt;@$cs&gt; \xl 23 \s QOQUYW000039 \xhfl Rep </w:instrText>
      </w:r>
      <w:r w:rsidRPr="00E52611">
        <w:fldChar w:fldCharType="end"/>
      </w:r>
      <w:r w:rsidR="00FE1B8C" w:rsidRPr="00E52611">
        <w:rPr>
          <w:i/>
          <w:iCs/>
        </w:rPr>
        <w:t>Garland</w:t>
      </w:r>
      <w:r w:rsidR="00FE1B8C" w:rsidRPr="00E52611">
        <w:rPr>
          <w:iCs/>
        </w:rPr>
        <w:t>,</w:t>
      </w:r>
      <w:r w:rsidR="00FE1B8C" w:rsidRPr="00E52611">
        <w:rPr>
          <w:i/>
          <w:iCs/>
        </w:rPr>
        <w:t xml:space="preserve"> </w:t>
      </w:r>
      <w:r w:rsidR="00FE1B8C" w:rsidRPr="00E52611">
        <w:t xml:space="preserve">71 U.S. at </w:t>
      </w:r>
      <w:r w:rsidR="00B63DCE" w:rsidRPr="00E52611">
        <w:t>367</w:t>
      </w:r>
      <w:r w:rsidR="00116A7D" w:rsidRPr="00E52611">
        <w:t xml:space="preserve">. </w:t>
      </w:r>
    </w:p>
    <w:p w:rsidR="00486910" w:rsidRPr="00E52611" w:rsidRDefault="00DF0559" w:rsidP="0024026B">
      <w:pPr>
        <w:spacing w:line="480" w:lineRule="auto"/>
        <w:ind w:firstLine="720"/>
      </w:pPr>
      <w:r w:rsidRPr="00E52611">
        <w:fldChar w:fldCharType="begin"/>
      </w:r>
      <w:r w:rsidR="00E52611" w:rsidRPr="00E52611">
        <w:instrText xml:space="preserve"> ADDIN BA \xc &lt;@$cs&gt; \xl 6 \s QOQUYW000035 </w:instrText>
      </w:r>
      <w:r w:rsidRPr="00E52611">
        <w:fldChar w:fldCharType="end"/>
      </w:r>
      <w:r w:rsidR="00D54AA1" w:rsidRPr="00E52611">
        <w:rPr>
          <w:i/>
        </w:rPr>
        <w:t xml:space="preserve">Lovett </w:t>
      </w:r>
      <w:r w:rsidR="00D54AA1" w:rsidRPr="00E52611">
        <w:t xml:space="preserve">and </w:t>
      </w:r>
      <w:r w:rsidRPr="00E52611">
        <w:fldChar w:fldCharType="begin"/>
      </w:r>
      <w:r w:rsidR="00E52611" w:rsidRPr="00E52611">
        <w:instrText xml:space="preserve"> ADDIN BA \xc &lt;@$cs&gt; \xl 5 \s QOQUYW000016 </w:instrText>
      </w:r>
      <w:r w:rsidRPr="00E52611">
        <w:fldChar w:fldCharType="end"/>
      </w:r>
      <w:r w:rsidR="00D54AA1" w:rsidRPr="00E52611">
        <w:rPr>
          <w:i/>
        </w:rPr>
        <w:t xml:space="preserve">Brown </w:t>
      </w:r>
      <w:r w:rsidR="00D54AA1" w:rsidRPr="00E52611">
        <w:t xml:space="preserve">involved congressional attempts to </w:t>
      </w:r>
      <w:r w:rsidR="00047395" w:rsidRPr="00E52611">
        <w:t xml:space="preserve">punish </w:t>
      </w:r>
      <w:r w:rsidR="00D54AA1" w:rsidRPr="00E52611">
        <w:t>communists.</w:t>
      </w:r>
      <w:r w:rsidR="00D00BB7" w:rsidRPr="00E52611">
        <w:t xml:space="preserve"> </w:t>
      </w:r>
      <w:r w:rsidRPr="00E52611">
        <w:fldChar w:fldCharType="begin"/>
      </w:r>
      <w:r w:rsidR="00E52611" w:rsidRPr="00E52611">
        <w:instrText xml:space="preserve"> ADDIN BA \xc &lt;@$cs&gt; \xl 6 \s QOQUYW000035 </w:instrText>
      </w:r>
      <w:r w:rsidRPr="00E52611">
        <w:fldChar w:fldCharType="end"/>
      </w:r>
      <w:r w:rsidR="00CC1CA9" w:rsidRPr="00E52611">
        <w:rPr>
          <w:i/>
        </w:rPr>
        <w:t>Lovett</w:t>
      </w:r>
      <w:r w:rsidR="00FF25BB" w:rsidRPr="00E52611">
        <w:t xml:space="preserve"> </w:t>
      </w:r>
      <w:r w:rsidR="008054D1" w:rsidRPr="00E52611">
        <w:t>concerned</w:t>
      </w:r>
      <w:r w:rsidR="00FF25BB" w:rsidRPr="00E52611">
        <w:t xml:space="preserve"> </w:t>
      </w:r>
      <w:r w:rsidR="002A3EB8" w:rsidRPr="00E52611">
        <w:t xml:space="preserve">legislation depriving three named government employees and alleged subversives from further government employment. </w:t>
      </w:r>
      <w:r w:rsidRPr="00E52611">
        <w:fldChar w:fldCharType="begin"/>
      </w:r>
      <w:r w:rsidR="00E52611" w:rsidRPr="00E52611">
        <w:instrText xml:space="preserve"> ADDIN BA \xc &lt;@$cs&gt; \xl 15 \s QOQUYW000035 \xhfl Rep </w:instrText>
      </w:r>
      <w:r w:rsidRPr="00E52611">
        <w:fldChar w:fldCharType="end"/>
      </w:r>
      <w:r w:rsidR="00E229C9" w:rsidRPr="00E52611">
        <w:t xml:space="preserve">328 U.S. </w:t>
      </w:r>
      <w:r w:rsidR="002A3EB8" w:rsidRPr="00E52611">
        <w:t xml:space="preserve">at 304. </w:t>
      </w:r>
      <w:r w:rsidR="003D17AC" w:rsidRPr="00E52611">
        <w:t>M</w:t>
      </w:r>
      <w:r w:rsidR="002A3EB8" w:rsidRPr="00E52611">
        <w:t xml:space="preserve">embers of Congress </w:t>
      </w:r>
      <w:r w:rsidR="003D17AC" w:rsidRPr="00E52611">
        <w:t xml:space="preserve">had </w:t>
      </w:r>
      <w:r w:rsidR="002A3EB8" w:rsidRPr="00E52611">
        <w:t xml:space="preserve">attacked plaintiffs as “unfit to hold a government position” due to their “beliefs and past actions.” </w:t>
      </w:r>
      <w:r w:rsidRPr="00E52611">
        <w:fldChar w:fldCharType="begin"/>
      </w:r>
      <w:r w:rsidR="00E52611" w:rsidRPr="00E52611">
        <w:instrText xml:space="preserve"> ADDIN BA \xc &lt;@$id&gt; \xl 10 \s ID \xhfl Rep </w:instrText>
      </w:r>
      <w:r w:rsidRPr="00E52611">
        <w:fldChar w:fldCharType="end"/>
      </w:r>
      <w:r w:rsidR="002A3EB8" w:rsidRPr="00E52611">
        <w:rPr>
          <w:i/>
        </w:rPr>
        <w:t xml:space="preserve">Id. </w:t>
      </w:r>
      <w:r w:rsidR="002A3EB8" w:rsidRPr="00E52611">
        <w:t xml:space="preserve">at 309. </w:t>
      </w:r>
      <w:r w:rsidR="00284FEE" w:rsidRPr="00E52611">
        <w:t xml:space="preserve">In </w:t>
      </w:r>
      <w:r w:rsidRPr="00E52611">
        <w:fldChar w:fldCharType="begin"/>
      </w:r>
      <w:r w:rsidR="00E52611" w:rsidRPr="00E52611">
        <w:instrText xml:space="preserve"> ADDIN BA \xc &lt;@$cs&gt; \xl 5 \s QOQUYW000016 </w:instrText>
      </w:r>
      <w:r w:rsidRPr="00E52611">
        <w:fldChar w:fldCharType="end"/>
      </w:r>
      <w:r w:rsidR="00B61738" w:rsidRPr="00E52611">
        <w:rPr>
          <w:i/>
        </w:rPr>
        <w:t>Brown</w:t>
      </w:r>
      <w:r w:rsidR="00EA7E22" w:rsidRPr="00E52611">
        <w:t xml:space="preserve">, </w:t>
      </w:r>
      <w:r w:rsidR="00815F18" w:rsidRPr="00E52611">
        <w:t xml:space="preserve">the Court </w:t>
      </w:r>
      <w:r w:rsidR="009E1FF0" w:rsidRPr="00E52611">
        <w:t>overturned a statute</w:t>
      </w:r>
      <w:r w:rsidR="00815F18" w:rsidRPr="00E52611">
        <w:t xml:space="preserve"> making it a crime for any member of a communist party to serve as an officer or employee of a labor union. </w:t>
      </w:r>
      <w:r w:rsidRPr="00E52611">
        <w:fldChar w:fldCharType="begin"/>
      </w:r>
      <w:r w:rsidR="00E52611" w:rsidRPr="00E52611">
        <w:instrText xml:space="preserve"> ADDIN BA \xc &lt;@$cs&gt; \xl 15 \s QOQUYW000016 \xhfl Rep </w:instrText>
      </w:r>
      <w:r w:rsidRPr="00E52611">
        <w:fldChar w:fldCharType="end"/>
      </w:r>
      <w:r w:rsidR="00284FEE" w:rsidRPr="00E52611">
        <w:t>381 U.S.</w:t>
      </w:r>
      <w:r w:rsidR="00815F18" w:rsidRPr="00E52611">
        <w:rPr>
          <w:i/>
        </w:rPr>
        <w:t xml:space="preserve"> </w:t>
      </w:r>
      <w:r w:rsidR="00815F18" w:rsidRPr="00E52611">
        <w:t xml:space="preserve">at 439. </w:t>
      </w:r>
      <w:r w:rsidR="0087002F" w:rsidRPr="00E52611">
        <w:t xml:space="preserve">The Court held that the statute impermissibly penalized </w:t>
      </w:r>
      <w:r w:rsidR="00815F18" w:rsidRPr="00E52611">
        <w:t xml:space="preserve">“members of a political group thought to present a threat to national security.” </w:t>
      </w:r>
      <w:r w:rsidRPr="00E52611">
        <w:fldChar w:fldCharType="begin"/>
      </w:r>
      <w:r w:rsidR="00E52611" w:rsidRPr="00E52611">
        <w:instrText xml:space="preserve"> ADDIN BA \xc &lt;@$id&gt; \xl 10 \s ID \xhfl Rep </w:instrText>
      </w:r>
      <w:r w:rsidRPr="00E52611">
        <w:fldChar w:fldCharType="end"/>
      </w:r>
      <w:r w:rsidR="00815F18" w:rsidRPr="00E52611">
        <w:rPr>
          <w:i/>
        </w:rPr>
        <w:t xml:space="preserve">Id. </w:t>
      </w:r>
      <w:r w:rsidR="00815F18" w:rsidRPr="00E52611">
        <w:t>at 453.</w:t>
      </w:r>
      <w:r w:rsidR="00EB1634" w:rsidRPr="00E52611">
        <w:t xml:space="preserve"> </w:t>
      </w:r>
      <w:r w:rsidR="00815F18" w:rsidRPr="00E52611">
        <w:t xml:space="preserve"> </w:t>
      </w:r>
    </w:p>
    <w:p w:rsidR="006378CE" w:rsidRPr="00E52611" w:rsidRDefault="001850BB" w:rsidP="0024026B">
      <w:pPr>
        <w:spacing w:line="480" w:lineRule="auto"/>
      </w:pPr>
      <w:r w:rsidRPr="00E52611">
        <w:tab/>
      </w:r>
      <w:r w:rsidR="007C4C70" w:rsidRPr="00E52611">
        <w:t xml:space="preserve">Like plaintiffs in </w:t>
      </w:r>
      <w:r w:rsidR="00DF0559" w:rsidRPr="00E52611">
        <w:fldChar w:fldCharType="begin"/>
      </w:r>
      <w:r w:rsidR="00E52611" w:rsidRPr="00E52611">
        <w:instrText xml:space="preserve"> ADDIN BA \xc &lt;@$cs&gt; \xl 6 \s QOQUYW000035 </w:instrText>
      </w:r>
      <w:r w:rsidR="00DF0559" w:rsidRPr="00E52611">
        <w:fldChar w:fldCharType="end"/>
      </w:r>
      <w:r w:rsidR="007C4C70" w:rsidRPr="00E52611">
        <w:rPr>
          <w:i/>
        </w:rPr>
        <w:t xml:space="preserve">Lovett </w:t>
      </w:r>
      <w:r w:rsidR="007C4C70" w:rsidRPr="00E52611">
        <w:t xml:space="preserve">and </w:t>
      </w:r>
      <w:r w:rsidR="00DF0559" w:rsidRPr="00E52611">
        <w:fldChar w:fldCharType="begin"/>
      </w:r>
      <w:r w:rsidR="00E52611" w:rsidRPr="00E52611">
        <w:instrText xml:space="preserve"> ADDIN BA \xc &lt;@$cs&gt; \xl 5 \s QOQUYW000016 </w:instrText>
      </w:r>
      <w:r w:rsidR="00DF0559" w:rsidRPr="00E52611">
        <w:fldChar w:fldCharType="end"/>
      </w:r>
      <w:r w:rsidR="007C4C70" w:rsidRPr="00E52611">
        <w:rPr>
          <w:i/>
        </w:rPr>
        <w:t>Brown</w:t>
      </w:r>
      <w:r w:rsidR="007C4C70" w:rsidRPr="00E52611">
        <w:t xml:space="preserve">, statements from members of Congress demonstrate that Congress </w:t>
      </w:r>
      <w:r w:rsidR="00A765D8" w:rsidRPr="00E52611">
        <w:t>singled out</w:t>
      </w:r>
      <w:r w:rsidR="007C4C70" w:rsidRPr="00E52611">
        <w:t xml:space="preserve"> ACORN</w:t>
      </w:r>
      <w:r w:rsidR="00A765D8" w:rsidRPr="00E52611">
        <w:t xml:space="preserve"> because of its political beliefs</w:t>
      </w:r>
      <w:r w:rsidR="007C4C70" w:rsidRPr="00E52611">
        <w:t xml:space="preserve">. </w:t>
      </w:r>
      <w:r w:rsidR="005B2312" w:rsidRPr="00E52611">
        <w:t xml:space="preserve">For example, </w:t>
      </w:r>
      <w:r w:rsidR="00F80991" w:rsidRPr="00E52611">
        <w:t xml:space="preserve">Congressman Issa called ACORN a ‘‘criminal enterprise that helped Barack Obama get elected President.’’ </w:t>
      </w:r>
      <w:r w:rsidR="00DF0559" w:rsidRPr="00E52611">
        <w:fldChar w:fldCharType="begin"/>
      </w:r>
      <w:r w:rsidR="00E52611" w:rsidRPr="00E52611">
        <w:instrText xml:space="preserve"> ADDIN BA \xc &lt;@rec&gt; \xl 10 \s QOQUYW000084 \xpl 1 \l "(R. at 43)" </w:instrText>
      </w:r>
      <w:r w:rsidR="00DF0559" w:rsidRPr="00E52611">
        <w:fldChar w:fldCharType="end"/>
      </w:r>
      <w:bookmarkStart w:id="88" w:name="_BA_Cite_201"/>
      <w:r w:rsidR="00F80991" w:rsidRPr="00E52611">
        <w:t>(R. at 43)</w:t>
      </w:r>
      <w:bookmarkEnd w:id="88"/>
      <w:r w:rsidR="00F80991" w:rsidRPr="00E52611">
        <w:t xml:space="preserve">. </w:t>
      </w:r>
      <w:r w:rsidR="005B2312" w:rsidRPr="00E52611">
        <w:t xml:space="preserve">Congresswoman Foxx derided ACORN for its </w:t>
      </w:r>
      <w:r w:rsidR="00280379" w:rsidRPr="00E52611">
        <w:t>“far-</w:t>
      </w:r>
      <w:r w:rsidR="005B2312" w:rsidRPr="00E52611">
        <w:t>left wing political agenda</w:t>
      </w:r>
      <w:r w:rsidR="00D95096" w:rsidRPr="00E52611">
        <w:t>.</w:t>
      </w:r>
      <w:r w:rsidR="005B2312" w:rsidRPr="00E52611">
        <w:t>”</w:t>
      </w:r>
      <w:r w:rsidR="00D95096" w:rsidRPr="00E52611">
        <w:t xml:space="preserve"> </w:t>
      </w:r>
      <w:r w:rsidR="005B2312" w:rsidRPr="00E52611">
        <w:t xml:space="preserve"> </w:t>
      </w:r>
      <w:r w:rsidR="00DF0559" w:rsidRPr="00E52611">
        <w:lastRenderedPageBreak/>
        <w:fldChar w:fldCharType="begin"/>
      </w:r>
      <w:r w:rsidR="00E52611" w:rsidRPr="00E52611">
        <w:instrText xml:space="preserve"> ADDIN BA \xc &lt;@leg&gt; \xl 27 \s QOQUYW000041 \l "155 Cong. Rec. H9946" </w:instrText>
      </w:r>
      <w:r w:rsidR="00DF0559" w:rsidRPr="00E52611">
        <w:fldChar w:fldCharType="end"/>
      </w:r>
      <w:bookmarkStart w:id="89" w:name="_BA_Cite_202"/>
      <w:r w:rsidR="00116A7D" w:rsidRPr="00E52611">
        <w:t>155 Cong. Rec. H9946, H9949</w:t>
      </w:r>
      <w:bookmarkEnd w:id="89"/>
      <w:r w:rsidR="00116A7D" w:rsidRPr="00E52611">
        <w:t xml:space="preserve">. </w:t>
      </w:r>
      <w:r w:rsidR="00D95096" w:rsidRPr="00E52611">
        <w:rPr>
          <w:rFonts w:cs="NewCenturySchlbk-Italic"/>
          <w:iCs/>
        </w:rPr>
        <w:t xml:space="preserve">She also </w:t>
      </w:r>
      <w:r w:rsidR="000114F7" w:rsidRPr="00E52611">
        <w:rPr>
          <w:rFonts w:cs="NewCenturySchlbk-Italic"/>
          <w:iCs/>
        </w:rPr>
        <w:t>disparaged</w:t>
      </w:r>
      <w:r w:rsidR="00D95096" w:rsidRPr="00E52611">
        <w:rPr>
          <w:rFonts w:cs="NewCenturySchlbk-Italic"/>
          <w:iCs/>
        </w:rPr>
        <w:t xml:space="preserve"> ACORN for its </w:t>
      </w:r>
      <w:r w:rsidR="005B2312" w:rsidRPr="00E52611">
        <w:t>ties to Democrats</w:t>
      </w:r>
      <w:r w:rsidR="00D95096" w:rsidRPr="00E52611">
        <w:t>, stating that “</w:t>
      </w:r>
      <w:r w:rsidR="009B1FC5" w:rsidRPr="00E52611">
        <w:t xml:space="preserve">Democrats want to </w:t>
      </w:r>
      <w:r w:rsidR="00D95096" w:rsidRPr="00E52611">
        <w:t>. . .</w:t>
      </w:r>
      <w:r w:rsidR="009B1FC5" w:rsidRPr="00E52611">
        <w:t xml:space="preserve"> reward their radical allies at ACORN</w:t>
      </w:r>
      <w:r w:rsidR="00280379" w:rsidRPr="00E52611">
        <w:t>”</w:t>
      </w:r>
      <w:r w:rsidR="009B1FC5" w:rsidRPr="00E52611">
        <w:t xml:space="preserve"> </w:t>
      </w:r>
      <w:r w:rsidR="00280379" w:rsidRPr="00E52611">
        <w:t xml:space="preserve">for </w:t>
      </w:r>
      <w:r w:rsidR="005B4A2D" w:rsidRPr="00E52611">
        <w:t>the nonprofit’s</w:t>
      </w:r>
      <w:r w:rsidR="00280379" w:rsidRPr="00E52611">
        <w:t xml:space="preserve"> “</w:t>
      </w:r>
      <w:r w:rsidR="009B1FC5" w:rsidRPr="00E52611">
        <w:t>illegal help</w:t>
      </w:r>
      <w:r w:rsidR="00D95096" w:rsidRPr="00E52611">
        <w:t xml:space="preserve"> . . . in </w:t>
      </w:r>
      <w:r w:rsidR="009B1FC5" w:rsidRPr="00E52611">
        <w:t xml:space="preserve">getting </w:t>
      </w:r>
      <w:r w:rsidR="00FE13A1" w:rsidRPr="00E52611">
        <w:t>[them]</w:t>
      </w:r>
      <w:r w:rsidR="003C6C74" w:rsidRPr="00E52611">
        <w:t xml:space="preserve"> elected to office.</w:t>
      </w:r>
      <w:r w:rsidR="00D95096" w:rsidRPr="00E52611">
        <w:t xml:space="preserve">” </w:t>
      </w:r>
      <w:r w:rsidR="00DF0559" w:rsidRPr="00E52611">
        <w:fldChar w:fldCharType="begin"/>
      </w:r>
      <w:r w:rsidR="00E52611" w:rsidRPr="00E52611">
        <w:instrText xml:space="preserve"> ADDIN BA \xc &lt;@$id&gt; \xl 3 \s ID </w:instrText>
      </w:r>
      <w:r w:rsidR="00DF0559" w:rsidRPr="00E52611">
        <w:fldChar w:fldCharType="end"/>
      </w:r>
      <w:r w:rsidR="00D95096" w:rsidRPr="00E52611">
        <w:rPr>
          <w:i/>
        </w:rPr>
        <w:t xml:space="preserve">Id. </w:t>
      </w:r>
      <w:r w:rsidR="003C6C74" w:rsidRPr="00E52611">
        <w:t xml:space="preserve"> </w:t>
      </w:r>
      <w:r w:rsidR="00F0015E" w:rsidRPr="00E52611">
        <w:t xml:space="preserve">Congressman King </w:t>
      </w:r>
      <w:r w:rsidR="00837316" w:rsidRPr="00E52611">
        <w:t>labeled</w:t>
      </w:r>
      <w:r w:rsidR="00E52FD3" w:rsidRPr="00E52611">
        <w:t xml:space="preserve"> President Obama “</w:t>
      </w:r>
      <w:r w:rsidR="00485528" w:rsidRPr="00E52611">
        <w:t xml:space="preserve">the </w:t>
      </w:r>
      <w:r w:rsidR="00E52FD3" w:rsidRPr="00E52611">
        <w:t>star of ACORN” and its “</w:t>
      </w:r>
      <w:r w:rsidR="00485528" w:rsidRPr="00E52611">
        <w:t>lead chief organizer.</w:t>
      </w:r>
      <w:r w:rsidR="00E52FD3" w:rsidRPr="00E52611">
        <w:t xml:space="preserve">” </w:t>
      </w:r>
      <w:r w:rsidR="00DF0559" w:rsidRPr="00E52611">
        <w:fldChar w:fldCharType="begin"/>
      </w:r>
      <w:r w:rsidR="00E52611" w:rsidRPr="00E52611">
        <w:instrText xml:space="preserve"> ADDIN BA \xc &lt;@leg&gt; \xl 27 \s QOQUYW000042 \l "155 Cong. Rec. H9946" </w:instrText>
      </w:r>
      <w:r w:rsidR="00DF0559" w:rsidRPr="00E52611">
        <w:fldChar w:fldCharType="end"/>
      </w:r>
      <w:bookmarkStart w:id="90" w:name="_BA_Cite_203"/>
      <w:r w:rsidR="0061314E" w:rsidRPr="00E52611">
        <w:t xml:space="preserve">155 Cong. Rec. H9946, </w:t>
      </w:r>
      <w:r w:rsidR="00E52FD3" w:rsidRPr="00E52611">
        <w:t>H9952</w:t>
      </w:r>
      <w:bookmarkEnd w:id="90"/>
      <w:r w:rsidR="00E52FD3" w:rsidRPr="00E52611">
        <w:t xml:space="preserve">. </w:t>
      </w:r>
    </w:p>
    <w:p w:rsidR="00832952" w:rsidRPr="00E52611" w:rsidRDefault="00F82AD3" w:rsidP="00F82AD3">
      <w:pPr>
        <w:spacing w:line="480" w:lineRule="auto"/>
        <w:ind w:firstLine="720"/>
      </w:pPr>
      <w:r w:rsidRPr="00E52611">
        <w:t>As</w:t>
      </w:r>
      <w:r w:rsidR="00832952" w:rsidRPr="00E52611">
        <w:t xml:space="preserve"> with the measures labeled unconstitutional bills of attainder by this Court, the media frenzy surrounding ACORN made 2009 a time of</w:t>
      </w:r>
      <w:r w:rsidR="006F4C71" w:rsidRPr="00E52611">
        <w:t xml:space="preserve"> “violent political excitements</w:t>
      </w:r>
      <w:r w:rsidR="00832952" w:rsidRPr="00E52611">
        <w:t>”</w:t>
      </w:r>
      <w:r w:rsidR="006F4C71" w:rsidRPr="00E52611">
        <w:t xml:space="preserve"> for the organization.</w:t>
      </w:r>
      <w:r w:rsidR="00832952" w:rsidRPr="00E52611">
        <w:t xml:space="preserve"> </w:t>
      </w:r>
      <w:r w:rsidR="00832952" w:rsidRPr="00E52611">
        <w:rPr>
          <w:i/>
        </w:rPr>
        <w:t xml:space="preserve">See </w:t>
      </w:r>
      <w:r w:rsidR="00DF0559" w:rsidRPr="00E52611">
        <w:fldChar w:fldCharType="begin"/>
      </w:r>
      <w:r w:rsidR="00E52611" w:rsidRPr="00E52611">
        <w:instrText xml:space="preserve"> ADDIN BA \xc &lt;@$cs&gt; \xl 24 \s QOQUYW000038 \xhfl Rep </w:instrText>
      </w:r>
      <w:r w:rsidR="00DF0559" w:rsidRPr="00E52611">
        <w:fldChar w:fldCharType="end"/>
      </w:r>
      <w:r w:rsidR="00832952" w:rsidRPr="00E52611">
        <w:rPr>
          <w:i/>
        </w:rPr>
        <w:t>Cummings</w:t>
      </w:r>
      <w:r w:rsidR="00832952" w:rsidRPr="00E52611">
        <w:t xml:space="preserve">, </w:t>
      </w:r>
      <w:r w:rsidR="00832952" w:rsidRPr="00E52611">
        <w:rPr>
          <w:rFonts w:eastAsia="Times New Roman"/>
          <w:lang w:eastAsia="en-US"/>
        </w:rPr>
        <w:t xml:space="preserve">71 U.S. at 323. </w:t>
      </w:r>
      <w:r w:rsidR="00A84A74" w:rsidRPr="00E52611">
        <w:rPr>
          <w:rFonts w:eastAsia="Times New Roman"/>
          <w:lang w:eastAsia="en-US"/>
        </w:rPr>
        <w:t>And like the communists and ex-Confederates in t</w:t>
      </w:r>
      <w:r w:rsidR="00512AEF" w:rsidRPr="00E52611">
        <w:rPr>
          <w:rFonts w:eastAsia="Times New Roman"/>
          <w:lang w:eastAsia="en-US"/>
        </w:rPr>
        <w:t xml:space="preserve">he </w:t>
      </w:r>
      <w:r w:rsidR="00A84A74" w:rsidRPr="00E52611">
        <w:rPr>
          <w:rFonts w:eastAsia="Times New Roman"/>
          <w:lang w:eastAsia="en-US"/>
        </w:rPr>
        <w:t>bills</w:t>
      </w:r>
      <w:r w:rsidR="00512AEF" w:rsidRPr="00E52611">
        <w:rPr>
          <w:rFonts w:eastAsia="Times New Roman"/>
          <w:lang w:eastAsia="en-US"/>
        </w:rPr>
        <w:t xml:space="preserve"> described above</w:t>
      </w:r>
      <w:r w:rsidR="00A84A74" w:rsidRPr="00E52611">
        <w:rPr>
          <w:rFonts w:eastAsia="Times New Roman"/>
          <w:lang w:eastAsia="en-US"/>
        </w:rPr>
        <w:t xml:space="preserve">, ACORN was extremely </w:t>
      </w:r>
      <w:r w:rsidR="001834C8" w:rsidRPr="00E52611">
        <w:rPr>
          <w:rFonts w:eastAsia="Times New Roman"/>
          <w:lang w:eastAsia="en-US"/>
        </w:rPr>
        <w:t>unpopular</w:t>
      </w:r>
      <w:r w:rsidR="00A84A74" w:rsidRPr="00E52611">
        <w:rPr>
          <w:rFonts w:eastAsia="Times New Roman"/>
          <w:lang w:eastAsia="en-US"/>
        </w:rPr>
        <w:t xml:space="preserve">. </w:t>
      </w:r>
      <w:r w:rsidR="0096781F" w:rsidRPr="00E52611">
        <w:rPr>
          <w:rFonts w:eastAsia="Times New Roman"/>
          <w:lang w:eastAsia="en-US"/>
        </w:rPr>
        <w:t xml:space="preserve">Influenced by the negative media, Congress </w:t>
      </w:r>
      <w:r w:rsidR="0096781F" w:rsidRPr="00E52611">
        <w:t xml:space="preserve">enacted the appropriations laws to </w:t>
      </w:r>
      <w:r w:rsidR="00B14002">
        <w:t xml:space="preserve">single out </w:t>
      </w:r>
      <w:r w:rsidR="0096781F" w:rsidRPr="00E52611">
        <w:t>ACORN because of its progressive agenda and allegiance to Democratic candidates and causes</w:t>
      </w:r>
      <w:r w:rsidR="00832952" w:rsidRPr="00E52611">
        <w:t xml:space="preserve">. </w:t>
      </w:r>
      <w:r w:rsidR="00B14002">
        <w:t>Punishment of this sort–</w:t>
      </w:r>
      <w:r w:rsidR="001D0145" w:rsidRPr="00E52611">
        <w:t xml:space="preserve">that sees Congress </w:t>
      </w:r>
      <w:r w:rsidR="00C85041">
        <w:t>targeting</w:t>
      </w:r>
      <w:r w:rsidR="001D0145" w:rsidRPr="00E52611">
        <w:t xml:space="preserve"> the politically unpopular </w:t>
      </w:r>
      <w:r w:rsidR="001D0145" w:rsidRPr="00E52611">
        <w:rPr>
          <w:rFonts w:eastAsia="Times New Roman"/>
          <w:lang w:eastAsia="en-US"/>
        </w:rPr>
        <w:t xml:space="preserve">and denying them certain rights or privileges </w:t>
      </w:r>
      <w:r w:rsidR="00B14002">
        <w:rPr>
          <w:rFonts w:eastAsia="Times New Roman"/>
          <w:lang w:eastAsia="en-US"/>
        </w:rPr>
        <w:t>because of their unpopularity–</w:t>
      </w:r>
      <w:r w:rsidR="001D0145" w:rsidRPr="00E52611">
        <w:rPr>
          <w:rFonts w:eastAsia="Times New Roman"/>
          <w:lang w:eastAsia="en-US"/>
        </w:rPr>
        <w:t xml:space="preserve">is the exact sort of legislation that the Bill of </w:t>
      </w:r>
      <w:r w:rsidR="00DF0559" w:rsidRPr="00E52611">
        <w:fldChar w:fldCharType="begin"/>
      </w:r>
      <w:r w:rsidR="00E52611" w:rsidRPr="00E52611">
        <w:instrText xml:space="preserve"> ADDIN BA \xc &lt;@$osdv&gt; \xl 17 \s QOQUYW000074 </w:instrText>
      </w:r>
      <w:r w:rsidR="00DF0559" w:rsidRPr="00E52611">
        <w:fldChar w:fldCharType="end"/>
      </w:r>
      <w:r w:rsidR="001D0145" w:rsidRPr="00E52611">
        <w:rPr>
          <w:rFonts w:eastAsia="Times New Roman"/>
          <w:lang w:eastAsia="en-US"/>
        </w:rPr>
        <w:t xml:space="preserve">Attainder Clauses </w:t>
      </w:r>
      <w:r w:rsidR="00FD5AC3" w:rsidRPr="00E52611">
        <w:rPr>
          <w:rFonts w:eastAsia="Times New Roman"/>
          <w:lang w:eastAsia="en-US"/>
        </w:rPr>
        <w:t xml:space="preserve">were </w:t>
      </w:r>
      <w:r w:rsidR="001D0145" w:rsidRPr="00E52611">
        <w:rPr>
          <w:rFonts w:eastAsia="Times New Roman"/>
          <w:lang w:eastAsia="en-US"/>
        </w:rPr>
        <w:t xml:space="preserve">meant to protect against. </w:t>
      </w:r>
      <w:r w:rsidR="001D0145" w:rsidRPr="00E52611">
        <w:rPr>
          <w:rFonts w:eastAsia="Times New Roman"/>
          <w:i/>
          <w:lang w:eastAsia="en-US"/>
        </w:rPr>
        <w:t>See</w:t>
      </w:r>
      <w:r w:rsidR="00B14002">
        <w:rPr>
          <w:rFonts w:eastAsia="Times New Roman"/>
          <w:i/>
          <w:lang w:eastAsia="en-US"/>
        </w:rPr>
        <w:t xml:space="preserve"> Cummings</w:t>
      </w:r>
      <w:r w:rsidR="00B14002">
        <w:rPr>
          <w:rFonts w:eastAsia="Times New Roman"/>
          <w:lang w:eastAsia="en-US"/>
        </w:rPr>
        <w:t>,</w:t>
      </w:r>
      <w:r w:rsidR="001D0145" w:rsidRPr="00E52611">
        <w:t xml:space="preserve"> </w:t>
      </w:r>
      <w:r w:rsidR="00DF0559" w:rsidRPr="00E52611">
        <w:fldChar w:fldCharType="begin"/>
      </w:r>
      <w:r w:rsidR="00E52611" w:rsidRPr="00E52611">
        <w:instrText xml:space="preserve"> ADDIN BA \xc &lt;@$cs&gt; \xl 18 \s QOQUYW000038 \xhfl Rep </w:instrText>
      </w:r>
      <w:r w:rsidR="00DF0559" w:rsidRPr="00E52611">
        <w:fldChar w:fldCharType="end"/>
      </w:r>
      <w:r w:rsidR="001D0145" w:rsidRPr="00E52611">
        <w:rPr>
          <w:rFonts w:eastAsia="Times New Roman"/>
          <w:lang w:eastAsia="en-US"/>
        </w:rPr>
        <w:t>71 U.S. 277 at 323.</w:t>
      </w:r>
    </w:p>
    <w:p w:rsidR="00E264B8" w:rsidRPr="00E52611" w:rsidRDefault="003153BC" w:rsidP="00E229C9">
      <w:pPr>
        <w:pStyle w:val="Heading4"/>
        <w:numPr>
          <w:ilvl w:val="0"/>
          <w:numId w:val="16"/>
        </w:numPr>
        <w:tabs>
          <w:tab w:val="left" w:pos="2160"/>
        </w:tabs>
        <w:ind w:left="2160" w:hanging="720"/>
        <w:rPr>
          <w:i w:val="0"/>
          <w:u w:val="single"/>
        </w:rPr>
      </w:pPr>
      <w:r w:rsidRPr="00E52611">
        <w:rPr>
          <w:i w:val="0"/>
          <w:u w:val="single"/>
        </w:rPr>
        <w:t xml:space="preserve">The Provisions Mark ACORN with a </w:t>
      </w:r>
      <w:r w:rsidR="00F9386E" w:rsidRPr="00E52611">
        <w:rPr>
          <w:i w:val="0"/>
          <w:u w:val="single"/>
        </w:rPr>
        <w:t xml:space="preserve">Note of Infamy </w:t>
      </w:r>
    </w:p>
    <w:p w:rsidR="00B76A21" w:rsidRPr="00E52611" w:rsidRDefault="00B76A21" w:rsidP="00B76A21">
      <w:pPr>
        <w:pStyle w:val="ListParagraph"/>
        <w:ind w:left="1800"/>
      </w:pPr>
    </w:p>
    <w:p w:rsidR="00B76A21" w:rsidRPr="00E52611" w:rsidRDefault="003153BC" w:rsidP="001E3504">
      <w:pPr>
        <w:pStyle w:val="Heading5"/>
        <w:numPr>
          <w:ilvl w:val="0"/>
          <w:numId w:val="5"/>
        </w:numPr>
        <w:rPr>
          <w:i/>
        </w:rPr>
      </w:pPr>
      <w:r w:rsidRPr="00E52611">
        <w:rPr>
          <w:i/>
        </w:rPr>
        <w:t xml:space="preserve">Notoriety </w:t>
      </w:r>
    </w:p>
    <w:p w:rsidR="00C31261" w:rsidRPr="00E52611" w:rsidRDefault="00392E74" w:rsidP="00B76A21">
      <w:pPr>
        <w:pStyle w:val="Heading5"/>
        <w:ind w:left="2880"/>
      </w:pPr>
      <w:r w:rsidRPr="00E52611">
        <w:t xml:space="preserve"> </w:t>
      </w:r>
      <w:r w:rsidR="00C31261" w:rsidRPr="00E52611">
        <w:t xml:space="preserve"> </w:t>
      </w:r>
    </w:p>
    <w:p w:rsidR="00A1507D" w:rsidRPr="00E52611" w:rsidRDefault="002C0B3C" w:rsidP="002C0B3C">
      <w:pPr>
        <w:tabs>
          <w:tab w:val="left" w:pos="720"/>
          <w:tab w:val="left" w:pos="1440"/>
        </w:tabs>
        <w:spacing w:line="480" w:lineRule="auto"/>
        <w:rPr>
          <w:rFonts w:eastAsia="Times New Roman"/>
          <w:lang w:eastAsia="en-US"/>
        </w:rPr>
      </w:pPr>
      <w:r w:rsidRPr="00E52611">
        <w:rPr>
          <w:b/>
        </w:rPr>
        <w:tab/>
      </w:r>
      <w:r w:rsidR="00830A85" w:rsidRPr="00E52611">
        <w:t xml:space="preserve">The early </w:t>
      </w:r>
      <w:r w:rsidR="00D24BC5" w:rsidRPr="00E52611">
        <w:t>attainder cases</w:t>
      </w:r>
      <w:r w:rsidR="00830A85" w:rsidRPr="00E52611">
        <w:t xml:space="preserve"> </w:t>
      </w:r>
      <w:r w:rsidR="00830A85" w:rsidRPr="00E52611">
        <w:rPr>
          <w:rFonts w:eastAsia="Times New Roman"/>
          <w:lang w:eastAsia="en-US"/>
        </w:rPr>
        <w:t xml:space="preserve">“demonstrate that a statute will be particularly susceptible to invalidation as a bill of attainder where its effect is to mark specified persons with a brand of infamy or disloyalty.” </w:t>
      </w:r>
      <w:r w:rsidR="00DF0559" w:rsidRPr="00E52611">
        <w:fldChar w:fldCharType="begin"/>
      </w:r>
      <w:r w:rsidR="00E52611" w:rsidRPr="00E52611">
        <w:instrText xml:space="preserve"> ADDIN BA \xc &lt;@$cs&gt; \xl 26 \s QOQUYW000036 \xhfl Rep </w:instrText>
      </w:r>
      <w:r w:rsidR="00DF0559" w:rsidRPr="00E52611">
        <w:fldChar w:fldCharType="end"/>
      </w:r>
      <w:r w:rsidR="00830A85" w:rsidRPr="00E52611">
        <w:rPr>
          <w:rFonts w:eastAsia="Times New Roman"/>
          <w:i/>
          <w:lang w:eastAsia="en-US"/>
        </w:rPr>
        <w:t>Foretich</w:t>
      </w:r>
      <w:r w:rsidR="00830A85" w:rsidRPr="00E52611">
        <w:rPr>
          <w:rFonts w:eastAsia="Times New Roman"/>
          <w:lang w:eastAsia="en-US"/>
        </w:rPr>
        <w:t xml:space="preserve">, 351 F.3d </w:t>
      </w:r>
      <w:r w:rsidR="00F015E1" w:rsidRPr="00E52611">
        <w:rPr>
          <w:rFonts w:eastAsia="Times New Roman"/>
          <w:lang w:eastAsia="en-US"/>
        </w:rPr>
        <w:t>at</w:t>
      </w:r>
      <w:r w:rsidR="00830A85" w:rsidRPr="00E52611">
        <w:rPr>
          <w:rFonts w:eastAsia="Times New Roman"/>
          <w:lang w:eastAsia="en-US"/>
        </w:rPr>
        <w:t xml:space="preserve"> 1219</w:t>
      </w:r>
      <w:r w:rsidR="00F015E1" w:rsidRPr="00E52611">
        <w:rPr>
          <w:rFonts w:eastAsia="Times New Roman"/>
          <w:lang w:eastAsia="en-US"/>
        </w:rPr>
        <w:t>.</w:t>
      </w:r>
      <w:r w:rsidR="00830A85" w:rsidRPr="00E52611">
        <w:rPr>
          <w:rFonts w:eastAsia="Times New Roman"/>
          <w:lang w:eastAsia="en-US"/>
        </w:rPr>
        <w:t xml:space="preserve"> </w:t>
      </w:r>
      <w:r w:rsidR="00A1507D" w:rsidRPr="00E52611">
        <w:rPr>
          <w:rFonts w:eastAsia="Times New Roman"/>
          <w:lang w:eastAsia="en-US"/>
        </w:rPr>
        <w:t xml:space="preserve">The effect of attainder at common law was to “set a note of </w:t>
      </w:r>
      <w:r w:rsidR="00A1507D" w:rsidRPr="00E52611">
        <w:rPr>
          <w:rFonts w:eastAsia="Times New Roman"/>
          <w:lang w:eastAsia="en-US"/>
        </w:rPr>
        <w:lastRenderedPageBreak/>
        <w:t xml:space="preserve">infamy” upon the accused; to make him “stained” and “blackened” as one “not fit to live upon the earth.” </w:t>
      </w:r>
      <w:r w:rsidR="00DF0559" w:rsidRPr="00E52611">
        <w:fldChar w:fldCharType="begin"/>
      </w:r>
      <w:r w:rsidR="00E52611" w:rsidRPr="00E52611">
        <w:instrText xml:space="preserve"> ADDIN BA \xc &lt;@$cs&gt; \xl 20 \s QOQUYW000023 \xhfl Rep </w:instrText>
      </w:r>
      <w:r w:rsidR="00DF0559" w:rsidRPr="00E52611">
        <w:fldChar w:fldCharType="end"/>
      </w:r>
      <w:r w:rsidR="00D03269" w:rsidRPr="00E52611">
        <w:rPr>
          <w:rFonts w:eastAsia="Times New Roman"/>
          <w:i/>
          <w:lang w:eastAsia="en-US"/>
        </w:rPr>
        <w:t>SBC</w:t>
      </w:r>
      <w:r w:rsidR="00D03269" w:rsidRPr="00E52611">
        <w:rPr>
          <w:rFonts w:eastAsia="Times New Roman"/>
          <w:lang w:eastAsia="en-US"/>
        </w:rPr>
        <w:t xml:space="preserve">, </w:t>
      </w:r>
      <w:r w:rsidR="00A1507D" w:rsidRPr="00E52611">
        <w:rPr>
          <w:rFonts w:eastAsia="Times New Roman"/>
          <w:lang w:eastAsia="en-US"/>
        </w:rPr>
        <w:t>154 F.3d</w:t>
      </w:r>
      <w:r w:rsidR="00D03269" w:rsidRPr="00E52611">
        <w:rPr>
          <w:rFonts w:eastAsia="Times New Roman"/>
          <w:lang w:eastAsia="en-US"/>
        </w:rPr>
        <w:t xml:space="preserve"> at</w:t>
      </w:r>
      <w:r w:rsidRPr="00E52611">
        <w:rPr>
          <w:rFonts w:eastAsia="Times New Roman"/>
          <w:lang w:eastAsia="en-US"/>
        </w:rPr>
        <w:t xml:space="preserve"> </w:t>
      </w:r>
      <w:r w:rsidR="00A1507D" w:rsidRPr="00E52611">
        <w:rPr>
          <w:rFonts w:eastAsia="Times New Roman"/>
          <w:lang w:eastAsia="en-US"/>
        </w:rPr>
        <w:t>235</w:t>
      </w:r>
      <w:r w:rsidR="00052980" w:rsidRPr="00E52611">
        <w:rPr>
          <w:rFonts w:eastAsia="Times New Roman"/>
          <w:lang w:eastAsia="en-US"/>
        </w:rPr>
        <w:t>.</w:t>
      </w:r>
    </w:p>
    <w:p w:rsidR="00F015E1" w:rsidRPr="00E52611" w:rsidRDefault="00A1507D" w:rsidP="00B76A21">
      <w:pPr>
        <w:spacing w:line="480" w:lineRule="auto"/>
        <w:rPr>
          <w:rFonts w:eastAsia="Times New Roman"/>
          <w:lang w:eastAsia="en-US"/>
        </w:rPr>
      </w:pPr>
      <w:r w:rsidRPr="00E52611">
        <w:rPr>
          <w:rFonts w:eastAsia="Times New Roman"/>
          <w:lang w:eastAsia="en-US"/>
        </w:rPr>
        <w:tab/>
      </w:r>
      <w:r w:rsidR="00076050" w:rsidRPr="00E52611">
        <w:rPr>
          <w:rFonts w:eastAsia="Times New Roman"/>
          <w:lang w:eastAsia="en-US"/>
        </w:rPr>
        <w:t xml:space="preserve">In </w:t>
      </w:r>
      <w:r w:rsidR="00DF0559" w:rsidRPr="00E52611">
        <w:fldChar w:fldCharType="begin"/>
      </w:r>
      <w:r w:rsidR="00E52611" w:rsidRPr="00E52611">
        <w:instrText xml:space="preserve"> ADDIN BA \xc &lt;@$cs&gt; \xl 6 \s QOQUYW000035 </w:instrText>
      </w:r>
      <w:r w:rsidR="00DF0559" w:rsidRPr="00E52611">
        <w:fldChar w:fldCharType="end"/>
      </w:r>
      <w:r w:rsidR="00076050" w:rsidRPr="00E52611">
        <w:rPr>
          <w:rFonts w:eastAsia="Times New Roman"/>
          <w:i/>
          <w:lang w:eastAsia="en-US"/>
        </w:rPr>
        <w:t>Lovett</w:t>
      </w:r>
      <w:r w:rsidR="00076050" w:rsidRPr="00E52611">
        <w:rPr>
          <w:rFonts w:eastAsia="Times New Roman"/>
          <w:lang w:eastAsia="en-US"/>
        </w:rPr>
        <w:t xml:space="preserve">, the Court found it relevant that the appropriations law </w:t>
      </w:r>
      <w:r w:rsidR="00EE4236" w:rsidRPr="00E52611">
        <w:rPr>
          <w:rFonts w:eastAsia="Times New Roman"/>
          <w:lang w:eastAsia="en-US"/>
        </w:rPr>
        <w:t>at issue was “aime</w:t>
      </w:r>
      <w:r w:rsidR="00D13BD0" w:rsidRPr="00E52611">
        <w:rPr>
          <w:rFonts w:eastAsia="Times New Roman"/>
          <w:lang w:eastAsia="en-US"/>
        </w:rPr>
        <w:t>d three named individuals,” and</w:t>
      </w:r>
      <w:r w:rsidR="00EE4236" w:rsidRPr="00E52611">
        <w:rPr>
          <w:rFonts w:eastAsia="Times New Roman"/>
          <w:lang w:eastAsia="en-US"/>
        </w:rPr>
        <w:t xml:space="preserve"> “</w:t>
      </w:r>
      <w:r w:rsidR="00076050" w:rsidRPr="00E52611">
        <w:rPr>
          <w:rFonts w:eastAsia="Times New Roman"/>
          <w:lang w:eastAsia="en-US"/>
        </w:rPr>
        <w:t>stigmatized their reputation and seriously impaired their c</w:t>
      </w:r>
      <w:r w:rsidR="007457AA" w:rsidRPr="00E52611">
        <w:rPr>
          <w:rFonts w:eastAsia="Times New Roman"/>
          <w:lang w:eastAsia="en-US"/>
        </w:rPr>
        <w:t xml:space="preserve">hance to earn a living . . ..”. </w:t>
      </w:r>
      <w:r w:rsidR="00DF0559" w:rsidRPr="00E52611">
        <w:fldChar w:fldCharType="begin"/>
      </w:r>
      <w:r w:rsidR="00E52611" w:rsidRPr="00E52611">
        <w:instrText xml:space="preserve"> ADDIN BA \xc &lt;@$cs&gt; \xl 15 \s QOQUYW000035 \xhfl Rep </w:instrText>
      </w:r>
      <w:r w:rsidR="00DF0559" w:rsidRPr="00E52611">
        <w:fldChar w:fldCharType="end"/>
      </w:r>
      <w:r w:rsidR="00076050" w:rsidRPr="00E52611">
        <w:rPr>
          <w:rFonts w:eastAsia="Times New Roman"/>
          <w:lang w:eastAsia="en-US"/>
        </w:rPr>
        <w:t xml:space="preserve">328 U.S. at 314. </w:t>
      </w:r>
    </w:p>
    <w:p w:rsidR="00FE268F" w:rsidRPr="00E52611" w:rsidRDefault="00F015E1" w:rsidP="00B0795B">
      <w:pPr>
        <w:spacing w:line="480" w:lineRule="auto"/>
        <w:rPr>
          <w:rFonts w:eastAsia="Times New Roman"/>
          <w:lang w:eastAsia="en-US"/>
        </w:rPr>
      </w:pPr>
      <w:r w:rsidRPr="00E52611">
        <w:rPr>
          <w:rFonts w:eastAsia="Times New Roman"/>
          <w:lang w:eastAsia="en-US"/>
        </w:rPr>
        <w:tab/>
      </w:r>
      <w:r w:rsidR="00B0795B" w:rsidRPr="00E52611">
        <w:rPr>
          <w:rFonts w:eastAsia="Times New Roman"/>
          <w:lang w:eastAsia="en-US"/>
        </w:rPr>
        <w:t xml:space="preserve">Similarly, </w:t>
      </w:r>
      <w:r w:rsidR="006E2162" w:rsidRPr="00E52611">
        <w:rPr>
          <w:rFonts w:eastAsia="Times New Roman"/>
          <w:lang w:eastAsia="en-US"/>
        </w:rPr>
        <w:t>i</w:t>
      </w:r>
      <w:r w:rsidR="00A1507D" w:rsidRPr="00E52611">
        <w:rPr>
          <w:rFonts w:eastAsia="Times New Roman"/>
          <w:lang w:eastAsia="en-US"/>
        </w:rPr>
        <w:t xml:space="preserve">n </w:t>
      </w:r>
      <w:r w:rsidR="00DF0559" w:rsidRPr="00E52611">
        <w:fldChar w:fldCharType="begin"/>
      </w:r>
      <w:r w:rsidR="00E52611" w:rsidRPr="00E52611">
        <w:instrText xml:space="preserve"> ADDIN BA \xc &lt;@$cs&gt; \xl 8 \s QOQUYW000036 </w:instrText>
      </w:r>
      <w:r w:rsidR="00DF0559" w:rsidRPr="00E52611">
        <w:fldChar w:fldCharType="end"/>
      </w:r>
      <w:r w:rsidR="00A1507D" w:rsidRPr="00E52611">
        <w:rPr>
          <w:rFonts w:eastAsia="Times New Roman"/>
          <w:i/>
          <w:lang w:eastAsia="en-US"/>
        </w:rPr>
        <w:t>Foretich</w:t>
      </w:r>
      <w:r w:rsidR="00EE0FC0" w:rsidRPr="00E52611">
        <w:rPr>
          <w:rFonts w:eastAsia="Times New Roman"/>
          <w:lang w:eastAsia="en-US"/>
        </w:rPr>
        <w:t>, the D.C. c</w:t>
      </w:r>
      <w:r w:rsidR="00A1507D" w:rsidRPr="00E52611">
        <w:rPr>
          <w:rFonts w:eastAsia="Times New Roman"/>
          <w:lang w:eastAsia="en-US"/>
        </w:rPr>
        <w:t xml:space="preserve">ircuit held that a statute </w:t>
      </w:r>
      <w:r w:rsidR="0045778E" w:rsidRPr="00E52611">
        <w:rPr>
          <w:rFonts w:eastAsia="Times New Roman"/>
          <w:lang w:eastAsia="en-US"/>
        </w:rPr>
        <w:t xml:space="preserve">denying </w:t>
      </w:r>
      <w:r w:rsidR="00A1507D" w:rsidRPr="00E52611">
        <w:rPr>
          <w:rFonts w:eastAsia="Times New Roman"/>
          <w:lang w:eastAsia="en-US"/>
        </w:rPr>
        <w:t xml:space="preserve">a noncustodial father any visitation rights marked him with a </w:t>
      </w:r>
      <w:r w:rsidR="00DE683E" w:rsidRPr="00E52611">
        <w:rPr>
          <w:rFonts w:eastAsia="Times New Roman"/>
          <w:lang w:eastAsia="en-US"/>
        </w:rPr>
        <w:t>“</w:t>
      </w:r>
      <w:r w:rsidR="00A1507D" w:rsidRPr="00E52611">
        <w:rPr>
          <w:rFonts w:eastAsia="Times New Roman"/>
          <w:lang w:eastAsia="en-US"/>
        </w:rPr>
        <w:t>note of infamy</w:t>
      </w:r>
      <w:r w:rsidR="00DE683E" w:rsidRPr="00E52611">
        <w:rPr>
          <w:rFonts w:eastAsia="Times New Roman"/>
          <w:lang w:eastAsia="en-US"/>
        </w:rPr>
        <w:t>”</w:t>
      </w:r>
      <w:r w:rsidR="00A1507D" w:rsidRPr="00E52611">
        <w:rPr>
          <w:rFonts w:eastAsia="Times New Roman"/>
          <w:lang w:eastAsia="en-US"/>
        </w:rPr>
        <w:t xml:space="preserve"> and therefore “would not be an inconsistent extension of the historical category.” </w:t>
      </w:r>
      <w:r w:rsidR="00DF0559" w:rsidRPr="00E52611">
        <w:fldChar w:fldCharType="begin"/>
      </w:r>
      <w:r w:rsidR="00E52611" w:rsidRPr="00E52611">
        <w:instrText xml:space="preserve"> ADDIN BA \xc &lt;@$cs&gt; \xl 16 \s QOQUYW000036 \xhfl Rep </w:instrText>
      </w:r>
      <w:r w:rsidR="00DF0559" w:rsidRPr="00E52611">
        <w:fldChar w:fldCharType="end"/>
      </w:r>
      <w:r w:rsidR="00407954" w:rsidRPr="00E52611">
        <w:rPr>
          <w:rFonts w:eastAsia="Times New Roman"/>
          <w:lang w:eastAsia="en-US"/>
        </w:rPr>
        <w:t>351 F.3d</w:t>
      </w:r>
      <w:r w:rsidR="00A1507D" w:rsidRPr="00E52611">
        <w:rPr>
          <w:rFonts w:eastAsia="Times New Roman"/>
          <w:i/>
          <w:lang w:eastAsia="en-US"/>
        </w:rPr>
        <w:t xml:space="preserve"> </w:t>
      </w:r>
      <w:r w:rsidR="00A1507D" w:rsidRPr="00E52611">
        <w:rPr>
          <w:rFonts w:eastAsia="Times New Roman"/>
          <w:lang w:eastAsia="en-US"/>
        </w:rPr>
        <w:t xml:space="preserve">at 1220. </w:t>
      </w:r>
      <w:r w:rsidR="00712399" w:rsidRPr="00E52611">
        <w:rPr>
          <w:rFonts w:eastAsia="Times New Roman"/>
          <w:lang w:eastAsia="en-US"/>
        </w:rPr>
        <w:t>As a result of the act, Dr. For</w:t>
      </w:r>
      <w:r w:rsidR="005F6CBC" w:rsidRPr="00E52611">
        <w:rPr>
          <w:rFonts w:eastAsia="Times New Roman"/>
          <w:lang w:eastAsia="en-US"/>
        </w:rPr>
        <w:t>e</w:t>
      </w:r>
      <w:r w:rsidR="00712399" w:rsidRPr="00E52611">
        <w:rPr>
          <w:rFonts w:eastAsia="Times New Roman"/>
          <w:lang w:eastAsia="en-US"/>
        </w:rPr>
        <w:t xml:space="preserve">tich was harassed by strangers and the media. </w:t>
      </w:r>
      <w:r w:rsidR="00DF0559" w:rsidRPr="00E52611">
        <w:fldChar w:fldCharType="begin"/>
      </w:r>
      <w:r w:rsidR="00E52611" w:rsidRPr="00E52611">
        <w:instrText xml:space="preserve"> ADDIN BA \xc &lt;@$id&gt; \xl 11 \s ID \xhfl Rep </w:instrText>
      </w:r>
      <w:r w:rsidR="00DF0559" w:rsidRPr="00E52611">
        <w:fldChar w:fldCharType="end"/>
      </w:r>
      <w:r w:rsidR="00712399" w:rsidRPr="00E52611">
        <w:rPr>
          <w:rFonts w:eastAsia="Times New Roman"/>
          <w:i/>
          <w:lang w:eastAsia="en-US"/>
        </w:rPr>
        <w:t xml:space="preserve">Id. </w:t>
      </w:r>
      <w:r w:rsidR="00712399" w:rsidRPr="00E52611">
        <w:rPr>
          <w:rFonts w:eastAsia="Times New Roman"/>
          <w:lang w:eastAsia="en-US"/>
        </w:rPr>
        <w:t>at 1209. A once-prominent oral surgeon, For</w:t>
      </w:r>
      <w:r w:rsidR="005F6CBC" w:rsidRPr="00E52611">
        <w:rPr>
          <w:rFonts w:eastAsia="Times New Roman"/>
          <w:lang w:eastAsia="en-US"/>
        </w:rPr>
        <w:t>e</w:t>
      </w:r>
      <w:r w:rsidR="00712399" w:rsidRPr="00E52611">
        <w:rPr>
          <w:rFonts w:eastAsia="Times New Roman"/>
          <w:lang w:eastAsia="en-US"/>
        </w:rPr>
        <w:t>tich lost so much business that h</w:t>
      </w:r>
      <w:r w:rsidR="00120AFA" w:rsidRPr="00E52611">
        <w:rPr>
          <w:rFonts w:eastAsia="Times New Roman"/>
          <w:lang w:eastAsia="en-US"/>
        </w:rPr>
        <w:t>e had to shut down his practice</w:t>
      </w:r>
      <w:r w:rsidR="00712399" w:rsidRPr="00E52611">
        <w:rPr>
          <w:rFonts w:eastAsia="Times New Roman"/>
          <w:lang w:eastAsia="en-US"/>
        </w:rPr>
        <w:t xml:space="preserve"> and found it extremely difficult to </w:t>
      </w:r>
      <w:r w:rsidR="00F35E74">
        <w:rPr>
          <w:rFonts w:eastAsia="Times New Roman"/>
          <w:lang w:eastAsia="en-US"/>
        </w:rPr>
        <w:t>obtain</w:t>
      </w:r>
      <w:r w:rsidR="00712399" w:rsidRPr="00E52611">
        <w:rPr>
          <w:rFonts w:eastAsia="Times New Roman"/>
          <w:lang w:eastAsia="en-US"/>
        </w:rPr>
        <w:t xml:space="preserve"> new employment. </w:t>
      </w:r>
      <w:r w:rsidR="00DF0559" w:rsidRPr="00E52611">
        <w:fldChar w:fldCharType="begin"/>
      </w:r>
      <w:r w:rsidR="00E52611" w:rsidRPr="00E52611">
        <w:instrText xml:space="preserve"> ADDIN BA \xc &lt;@$id&gt; \xl 3 \s ID </w:instrText>
      </w:r>
      <w:r w:rsidR="00DF0559" w:rsidRPr="00E52611">
        <w:fldChar w:fldCharType="end"/>
      </w:r>
      <w:r w:rsidR="00712399" w:rsidRPr="00E52611">
        <w:rPr>
          <w:rFonts w:eastAsia="Times New Roman"/>
          <w:i/>
          <w:lang w:eastAsia="en-US"/>
        </w:rPr>
        <w:t>Id</w:t>
      </w:r>
      <w:r w:rsidR="00011E5E" w:rsidRPr="00E52611">
        <w:rPr>
          <w:rFonts w:eastAsia="Times New Roman"/>
          <w:i/>
          <w:lang w:eastAsia="en-US"/>
        </w:rPr>
        <w:t xml:space="preserve">. </w:t>
      </w:r>
      <w:r w:rsidR="00011E5E" w:rsidRPr="00E52611">
        <w:rPr>
          <w:rFonts w:eastAsia="Times New Roman"/>
          <w:lang w:eastAsia="en-US"/>
        </w:rPr>
        <w:t>Noting that</w:t>
      </w:r>
      <w:r w:rsidR="00712399" w:rsidRPr="00E52611">
        <w:rPr>
          <w:rFonts w:eastAsia="Times New Roman"/>
          <w:lang w:eastAsia="en-US"/>
        </w:rPr>
        <w:t xml:space="preserve"> Dr. For</w:t>
      </w:r>
      <w:r w:rsidR="005F6CBC" w:rsidRPr="00E52611">
        <w:rPr>
          <w:rFonts w:eastAsia="Times New Roman"/>
          <w:lang w:eastAsia="en-US"/>
        </w:rPr>
        <w:t>e</w:t>
      </w:r>
      <w:r w:rsidR="00712399" w:rsidRPr="00E52611">
        <w:rPr>
          <w:rFonts w:eastAsia="Times New Roman"/>
          <w:lang w:eastAsia="en-US"/>
        </w:rPr>
        <w:t>tich was “no lon</w:t>
      </w:r>
      <w:r w:rsidR="00011E5E" w:rsidRPr="00E52611">
        <w:rPr>
          <w:rFonts w:eastAsia="Times New Roman"/>
          <w:lang w:eastAsia="en-US"/>
        </w:rPr>
        <w:t>ger of any credit or reputation,</w:t>
      </w:r>
      <w:r w:rsidR="00712399" w:rsidRPr="00E52611">
        <w:rPr>
          <w:rFonts w:eastAsia="Times New Roman"/>
          <w:lang w:eastAsia="en-US"/>
        </w:rPr>
        <w:t xml:space="preserve">” </w:t>
      </w:r>
      <w:r w:rsidR="0013570D" w:rsidRPr="00E52611">
        <w:rPr>
          <w:rFonts w:eastAsia="Times New Roman"/>
          <w:lang w:eastAsia="en-US"/>
        </w:rPr>
        <w:t>t</w:t>
      </w:r>
      <w:r w:rsidR="00A1507D" w:rsidRPr="00E52611">
        <w:rPr>
          <w:rFonts w:eastAsia="Times New Roman"/>
          <w:lang w:eastAsia="en-US"/>
        </w:rPr>
        <w:t xml:space="preserve">he court considered the </w:t>
      </w:r>
      <w:r w:rsidR="00011E5E" w:rsidRPr="00E52611">
        <w:rPr>
          <w:rFonts w:eastAsia="Times New Roman"/>
          <w:lang w:eastAsia="en-US"/>
        </w:rPr>
        <w:t>act</w:t>
      </w:r>
      <w:r w:rsidR="00A1507D" w:rsidRPr="00E52611">
        <w:rPr>
          <w:rFonts w:eastAsia="Times New Roman"/>
          <w:lang w:eastAsia="en-US"/>
        </w:rPr>
        <w:t xml:space="preserve"> “not dissimilar” to the burdens traditionally </w:t>
      </w:r>
      <w:r w:rsidR="004C3973" w:rsidRPr="00E52611">
        <w:rPr>
          <w:rFonts w:eastAsia="Times New Roman"/>
          <w:lang w:eastAsia="en-US"/>
        </w:rPr>
        <w:t>deemed</w:t>
      </w:r>
      <w:r w:rsidR="00A1507D" w:rsidRPr="00E52611">
        <w:rPr>
          <w:rFonts w:eastAsia="Times New Roman"/>
          <w:lang w:eastAsia="en-US"/>
        </w:rPr>
        <w:t xml:space="preserve"> punitive. </w:t>
      </w:r>
      <w:r w:rsidR="00DF0559" w:rsidRPr="00E52611">
        <w:fldChar w:fldCharType="begin"/>
      </w:r>
      <w:r w:rsidR="00E52611" w:rsidRPr="00E52611">
        <w:instrText xml:space="preserve"> ADDIN BA \xc &lt;@$id&gt; \xl 11 \s ID \xhfl Rep </w:instrText>
      </w:r>
      <w:r w:rsidR="00DF0559" w:rsidRPr="00E52611">
        <w:fldChar w:fldCharType="end"/>
      </w:r>
      <w:r w:rsidR="00A1507D" w:rsidRPr="00E52611">
        <w:rPr>
          <w:rFonts w:eastAsia="Times New Roman"/>
          <w:i/>
          <w:lang w:eastAsia="en-US"/>
        </w:rPr>
        <w:t xml:space="preserve">Id. </w:t>
      </w:r>
      <w:r w:rsidR="00011E5E" w:rsidRPr="00E52611">
        <w:rPr>
          <w:rFonts w:eastAsia="Times New Roman"/>
          <w:lang w:eastAsia="en-US"/>
        </w:rPr>
        <w:t xml:space="preserve">at 1220. </w:t>
      </w:r>
    </w:p>
    <w:p w:rsidR="00EE0FC0" w:rsidRPr="00E52611" w:rsidRDefault="00EE0FC0" w:rsidP="00AA6964">
      <w:pPr>
        <w:spacing w:line="480" w:lineRule="auto"/>
        <w:rPr>
          <w:rFonts w:eastAsia="Times New Roman"/>
          <w:lang w:eastAsia="en-US"/>
        </w:rPr>
      </w:pPr>
      <w:r w:rsidRPr="00E52611">
        <w:rPr>
          <w:rFonts w:eastAsia="Times New Roman"/>
          <w:i/>
          <w:lang w:eastAsia="en-US"/>
        </w:rPr>
        <w:tab/>
      </w:r>
      <w:r w:rsidR="002A71A0" w:rsidRPr="00E52611">
        <w:rPr>
          <w:rFonts w:eastAsia="Times New Roman"/>
          <w:lang w:eastAsia="en-US"/>
        </w:rPr>
        <w:t>In</w:t>
      </w:r>
      <w:r w:rsidRPr="00E52611">
        <w:rPr>
          <w:rFonts w:eastAsia="Times New Roman"/>
          <w:lang w:eastAsia="en-US"/>
        </w:rPr>
        <w:t xml:space="preserve"> </w:t>
      </w:r>
      <w:r w:rsidR="00AE6392" w:rsidRPr="00E52611">
        <w:rPr>
          <w:rFonts w:eastAsia="Times New Roman"/>
          <w:lang w:eastAsia="en-US"/>
        </w:rPr>
        <w:t xml:space="preserve">his concurrence in </w:t>
      </w:r>
      <w:r w:rsidR="00DF0559" w:rsidRPr="00E52611">
        <w:fldChar w:fldCharType="begin"/>
      </w:r>
      <w:r w:rsidR="00E52611" w:rsidRPr="00E52611">
        <w:instrText xml:space="preserve"> ADDIN BA \xc &lt;@ocsn&gt; \xl 35 \s QOQUYW000085 \l "</w:instrText>
      </w:r>
      <w:r w:rsidR="00E52611" w:rsidRPr="00E52611">
        <w:rPr>
          <w:rFonts w:eastAsia="Times New Roman"/>
          <w:i/>
          <w:lang w:eastAsia="en-US"/>
        </w:rPr>
        <w:instrText>Joint Anti-Fascist Comm. v. McGrath</w:instrText>
      </w:r>
      <w:r w:rsidR="00E52611" w:rsidRPr="00E52611">
        <w:instrText xml:space="preserve">" </w:instrText>
      </w:r>
      <w:r w:rsidR="00DF0559" w:rsidRPr="00E52611">
        <w:fldChar w:fldCharType="end"/>
      </w:r>
      <w:bookmarkStart w:id="91" w:name="_BA_Cite_204"/>
      <w:r w:rsidR="004B7D76" w:rsidRPr="00E52611">
        <w:rPr>
          <w:rFonts w:eastAsia="Times New Roman"/>
          <w:i/>
          <w:lang w:eastAsia="en-US"/>
        </w:rPr>
        <w:t>Joint Anti-Fascist Comm</w:t>
      </w:r>
      <w:r w:rsidR="00AE6392" w:rsidRPr="00E52611">
        <w:rPr>
          <w:rFonts w:eastAsia="Times New Roman"/>
          <w:i/>
          <w:lang w:eastAsia="en-US"/>
        </w:rPr>
        <w:t xml:space="preserve">. v. </w:t>
      </w:r>
      <w:r w:rsidRPr="00E52611">
        <w:rPr>
          <w:rFonts w:eastAsia="Times New Roman"/>
          <w:i/>
          <w:lang w:eastAsia="en-US"/>
        </w:rPr>
        <w:t>McGrath</w:t>
      </w:r>
      <w:bookmarkEnd w:id="91"/>
      <w:r w:rsidRPr="00E52611">
        <w:rPr>
          <w:rFonts w:eastAsia="Times New Roman"/>
          <w:lang w:eastAsia="en-US"/>
        </w:rPr>
        <w:t>,</w:t>
      </w:r>
      <w:r w:rsidR="00AE6392" w:rsidRPr="00E52611">
        <w:rPr>
          <w:rFonts w:eastAsia="Times New Roman"/>
          <w:lang w:eastAsia="en-US"/>
        </w:rPr>
        <w:t xml:space="preserve"> Justice Black emphasized that the Attorney General’s branding certain organizations as communists </w:t>
      </w:r>
      <w:r w:rsidR="004D27BA" w:rsidRPr="00E52611">
        <w:rPr>
          <w:rFonts w:eastAsia="Times New Roman"/>
          <w:lang w:eastAsia="en-US"/>
        </w:rPr>
        <w:t xml:space="preserve">unconstitutionally </w:t>
      </w:r>
      <w:r w:rsidR="00AE6392" w:rsidRPr="00E52611">
        <w:rPr>
          <w:rFonts w:eastAsia="Times New Roman"/>
          <w:lang w:eastAsia="en-US"/>
        </w:rPr>
        <w:t xml:space="preserve">marked the </w:t>
      </w:r>
      <w:r w:rsidR="00F35E74">
        <w:rPr>
          <w:rFonts w:eastAsia="Times New Roman"/>
          <w:lang w:eastAsia="en-US"/>
        </w:rPr>
        <w:t>group</w:t>
      </w:r>
      <w:r w:rsidR="00AE6392" w:rsidRPr="00E52611">
        <w:rPr>
          <w:rFonts w:eastAsia="Times New Roman"/>
          <w:lang w:eastAsia="en-US"/>
        </w:rPr>
        <w:t xml:space="preserve">s with a note of infamy. </w:t>
      </w:r>
      <w:r w:rsidR="00DF0559" w:rsidRPr="00E52611">
        <w:fldChar w:fldCharType="begin"/>
      </w:r>
      <w:r w:rsidR="00E52611" w:rsidRPr="00E52611">
        <w:instrText xml:space="preserve"> ADDIN BA \xc &lt;@oppt&gt; \xl 24 \s QOQUYW000086 \l "</w:instrText>
      </w:r>
      <w:r w:rsidR="00E52611" w:rsidRPr="00E52611">
        <w:rPr>
          <w:rFonts w:eastAsia="Times New Roman"/>
          <w:lang w:eastAsia="en-US"/>
        </w:rPr>
        <w:instrText>341 U.S. 123, 142 (1951)</w:instrText>
      </w:r>
      <w:r w:rsidR="00E52611" w:rsidRPr="00E52611">
        <w:instrText xml:space="preserve">" </w:instrText>
      </w:r>
      <w:r w:rsidR="00DF0559" w:rsidRPr="00E52611">
        <w:fldChar w:fldCharType="end"/>
      </w:r>
      <w:bookmarkStart w:id="92" w:name="_BA_Cite_205"/>
      <w:r w:rsidR="00346488" w:rsidRPr="00E52611">
        <w:rPr>
          <w:rFonts w:eastAsia="Times New Roman"/>
          <w:lang w:eastAsia="en-US"/>
        </w:rPr>
        <w:t>341 U.S. 123, 142 (1951)</w:t>
      </w:r>
      <w:bookmarkEnd w:id="92"/>
      <w:r w:rsidR="00346488" w:rsidRPr="00E52611">
        <w:rPr>
          <w:rFonts w:eastAsia="Times New Roman"/>
          <w:lang w:eastAsia="en-US"/>
        </w:rPr>
        <w:t xml:space="preserve">. </w:t>
      </w:r>
      <w:r w:rsidR="00AC6100" w:rsidRPr="00E52611">
        <w:rPr>
          <w:rFonts w:eastAsia="Times New Roman"/>
          <w:lang w:eastAsia="en-US"/>
        </w:rPr>
        <w:t xml:space="preserve">At issue in </w:t>
      </w:r>
      <w:r w:rsidR="00AC6100" w:rsidRPr="00E52611">
        <w:rPr>
          <w:rFonts w:eastAsia="Times New Roman"/>
          <w:i/>
          <w:lang w:eastAsia="en-US"/>
        </w:rPr>
        <w:t>McGrath</w:t>
      </w:r>
      <w:r w:rsidR="00AE6392" w:rsidRPr="00E52611">
        <w:rPr>
          <w:rFonts w:eastAsia="Times New Roman"/>
          <w:lang w:eastAsia="en-US"/>
        </w:rPr>
        <w:t xml:space="preserve"> was whether certain </w:t>
      </w:r>
      <w:r w:rsidR="00D23467" w:rsidRPr="00E52611">
        <w:rPr>
          <w:rFonts w:eastAsia="Times New Roman"/>
          <w:lang w:eastAsia="en-US"/>
        </w:rPr>
        <w:t>groups</w:t>
      </w:r>
      <w:r w:rsidR="00AE6392" w:rsidRPr="00E52611">
        <w:rPr>
          <w:rFonts w:eastAsia="Times New Roman"/>
          <w:lang w:eastAsia="en-US"/>
        </w:rPr>
        <w:t xml:space="preserve"> signaled out by the Attorney General as communist organizations</w:t>
      </w:r>
      <w:r w:rsidR="007A13D0" w:rsidRPr="00E52611">
        <w:rPr>
          <w:rFonts w:eastAsia="Times New Roman"/>
          <w:lang w:eastAsia="en-US"/>
        </w:rPr>
        <w:t xml:space="preserve"> </w:t>
      </w:r>
      <w:r w:rsidR="00110B3B" w:rsidRPr="00E52611">
        <w:rPr>
          <w:rFonts w:eastAsia="Times New Roman"/>
          <w:lang w:eastAsia="en-US"/>
        </w:rPr>
        <w:t xml:space="preserve">under the Hatch Act had standing to challenge </w:t>
      </w:r>
      <w:r w:rsidR="003B78DB" w:rsidRPr="00E52611">
        <w:rPr>
          <w:rFonts w:eastAsia="Times New Roman"/>
          <w:lang w:eastAsia="en-US"/>
        </w:rPr>
        <w:t>defendants’</w:t>
      </w:r>
      <w:r w:rsidR="00120AFA" w:rsidRPr="00E52611">
        <w:rPr>
          <w:rFonts w:eastAsia="Times New Roman"/>
          <w:lang w:eastAsia="en-US"/>
        </w:rPr>
        <w:t xml:space="preserve"> widely </w:t>
      </w:r>
      <w:r w:rsidR="00110B3B" w:rsidRPr="00E52611">
        <w:rPr>
          <w:rFonts w:eastAsia="Times New Roman"/>
          <w:lang w:eastAsia="en-US"/>
        </w:rPr>
        <w:t>disseminated findings</w:t>
      </w:r>
      <w:r w:rsidR="00AE6392" w:rsidRPr="00E52611">
        <w:rPr>
          <w:rFonts w:eastAsia="Times New Roman"/>
          <w:lang w:eastAsia="en-US"/>
        </w:rPr>
        <w:t xml:space="preserve">. </w:t>
      </w:r>
      <w:r w:rsidR="00DF0559" w:rsidRPr="00E52611">
        <w:fldChar w:fldCharType="begin"/>
      </w:r>
      <w:r w:rsidR="00E52611" w:rsidRPr="00E52611">
        <w:instrText xml:space="preserve"> ADDIN BA \xc &lt;@$id&gt; \xl 18 \s ID \xhfl Rep </w:instrText>
      </w:r>
      <w:r w:rsidR="00DF0559" w:rsidRPr="00E52611">
        <w:fldChar w:fldCharType="end"/>
      </w:r>
      <w:r w:rsidR="00AE6392" w:rsidRPr="00E52611">
        <w:rPr>
          <w:rFonts w:eastAsia="Times New Roman"/>
          <w:i/>
          <w:lang w:eastAsia="en-US"/>
        </w:rPr>
        <w:t xml:space="preserve">Id. </w:t>
      </w:r>
      <w:r w:rsidR="00AE6392" w:rsidRPr="00E52611">
        <w:rPr>
          <w:rFonts w:eastAsia="Times New Roman"/>
          <w:lang w:eastAsia="en-US"/>
        </w:rPr>
        <w:t>at 126</w:t>
      </w:r>
      <w:r w:rsidR="007A13D0" w:rsidRPr="00E52611">
        <w:rPr>
          <w:rFonts w:eastAsia="Times New Roman"/>
          <w:lang w:eastAsia="en-US"/>
        </w:rPr>
        <w:t xml:space="preserve">-27, </w:t>
      </w:r>
      <w:r w:rsidR="00110B3B" w:rsidRPr="00E52611">
        <w:rPr>
          <w:rFonts w:eastAsia="Times New Roman"/>
          <w:lang w:eastAsia="en-US"/>
        </w:rPr>
        <w:t>1</w:t>
      </w:r>
      <w:r w:rsidR="007A13D0" w:rsidRPr="00E52611">
        <w:rPr>
          <w:rFonts w:eastAsia="Times New Roman"/>
          <w:lang w:eastAsia="en-US"/>
        </w:rPr>
        <w:t>43</w:t>
      </w:r>
      <w:r w:rsidR="00BD70BA" w:rsidRPr="00E52611">
        <w:rPr>
          <w:rFonts w:eastAsia="Times New Roman"/>
          <w:lang w:eastAsia="en-US"/>
        </w:rPr>
        <w:t xml:space="preserve">. The Court held that the </w:t>
      </w:r>
      <w:r w:rsidR="00F35E74">
        <w:rPr>
          <w:rFonts w:eastAsia="Times New Roman"/>
          <w:lang w:eastAsia="en-US"/>
        </w:rPr>
        <w:t>plaintiff</w:t>
      </w:r>
      <w:r w:rsidR="00BD70BA" w:rsidRPr="00E52611">
        <w:rPr>
          <w:rFonts w:eastAsia="Times New Roman"/>
          <w:lang w:eastAsia="en-US"/>
        </w:rPr>
        <w:t xml:space="preserve">s </w:t>
      </w:r>
      <w:r w:rsidR="0097226D" w:rsidRPr="00E52611">
        <w:rPr>
          <w:rFonts w:eastAsia="Times New Roman"/>
          <w:lang w:eastAsia="en-US"/>
        </w:rPr>
        <w:t>had a</w:t>
      </w:r>
      <w:r w:rsidR="00120AFA" w:rsidRPr="00E52611">
        <w:rPr>
          <w:rFonts w:eastAsia="Times New Roman"/>
          <w:lang w:eastAsia="en-US"/>
        </w:rPr>
        <w:t xml:space="preserve"> legally </w:t>
      </w:r>
      <w:r w:rsidR="00BD70BA" w:rsidRPr="00E52611">
        <w:rPr>
          <w:rFonts w:eastAsia="Times New Roman"/>
          <w:lang w:eastAsia="en-US"/>
        </w:rPr>
        <w:t xml:space="preserve">redressable claim, but did </w:t>
      </w:r>
      <w:r w:rsidR="00346488" w:rsidRPr="00E52611">
        <w:rPr>
          <w:rFonts w:eastAsia="Times New Roman"/>
          <w:lang w:eastAsia="en-US"/>
        </w:rPr>
        <w:t>not reach</w:t>
      </w:r>
      <w:r w:rsidR="00BD70BA" w:rsidRPr="00E52611">
        <w:rPr>
          <w:rFonts w:eastAsia="Times New Roman"/>
          <w:lang w:eastAsia="en-US"/>
        </w:rPr>
        <w:t xml:space="preserve"> the merits. </w:t>
      </w:r>
      <w:r w:rsidR="00DF0559" w:rsidRPr="00E52611">
        <w:fldChar w:fldCharType="begin"/>
      </w:r>
      <w:r w:rsidR="00E52611" w:rsidRPr="00E52611">
        <w:instrText xml:space="preserve"> ADDIN BA \xc &lt;@$id&gt; \xl 10 \s ID \xhfl Rep </w:instrText>
      </w:r>
      <w:r w:rsidR="00DF0559" w:rsidRPr="00E52611">
        <w:fldChar w:fldCharType="end"/>
      </w:r>
      <w:r w:rsidR="00BD70BA" w:rsidRPr="00E52611">
        <w:rPr>
          <w:rFonts w:eastAsia="Times New Roman"/>
          <w:i/>
          <w:lang w:eastAsia="en-US"/>
        </w:rPr>
        <w:t xml:space="preserve">Id. </w:t>
      </w:r>
      <w:r w:rsidR="00BD70BA" w:rsidRPr="00E52611">
        <w:rPr>
          <w:rFonts w:eastAsia="Times New Roman"/>
          <w:lang w:eastAsia="en-US"/>
        </w:rPr>
        <w:t xml:space="preserve">at 126. In his concurrence, </w:t>
      </w:r>
      <w:r w:rsidR="00BD70BA" w:rsidRPr="00E52611">
        <w:rPr>
          <w:rFonts w:eastAsia="Times New Roman"/>
          <w:lang w:eastAsia="en-US"/>
        </w:rPr>
        <w:lastRenderedPageBreak/>
        <w:t xml:space="preserve">Justice Black stated that “in the </w:t>
      </w:r>
      <w:r w:rsidR="00905D6E" w:rsidRPr="00E52611">
        <w:rPr>
          <w:rFonts w:eastAsia="Times New Roman"/>
          <w:lang w:eastAsia="en-US"/>
        </w:rPr>
        <w:t>[then-existing]</w:t>
      </w:r>
      <w:r w:rsidR="002F0FBA" w:rsidRPr="00E52611">
        <w:rPr>
          <w:rFonts w:eastAsia="Times New Roman"/>
          <w:lang w:eastAsia="en-US"/>
        </w:rPr>
        <w:t xml:space="preserve">. . . </w:t>
      </w:r>
      <w:r w:rsidR="00BD70BA" w:rsidRPr="00E52611">
        <w:rPr>
          <w:rFonts w:eastAsia="Times New Roman"/>
          <w:lang w:eastAsia="en-US"/>
        </w:rPr>
        <w:t>climate of public opinion it appears certain that the Attorney Gene</w:t>
      </w:r>
      <w:r w:rsidR="005B76A9" w:rsidRPr="00E52611">
        <w:rPr>
          <w:rFonts w:eastAsia="Times New Roman"/>
          <w:lang w:eastAsia="en-US"/>
        </w:rPr>
        <w:t>ral’s much publicized findings</w:t>
      </w:r>
      <w:r w:rsidR="005A495E" w:rsidRPr="00E52611">
        <w:rPr>
          <w:rFonts w:eastAsia="Times New Roman"/>
          <w:lang w:eastAsia="en-US"/>
        </w:rPr>
        <w:t>” were “</w:t>
      </w:r>
      <w:r w:rsidR="00BD70BA" w:rsidRPr="00E52611">
        <w:rPr>
          <w:rFonts w:eastAsia="Times New Roman"/>
          <w:lang w:eastAsia="en-US"/>
        </w:rPr>
        <w:t xml:space="preserve">the practical equivalents of </w:t>
      </w:r>
      <w:r w:rsidR="00264EFE" w:rsidRPr="00E52611">
        <w:rPr>
          <w:rFonts w:eastAsia="Times New Roman"/>
          <w:lang w:eastAsia="en-US"/>
        </w:rPr>
        <w:t>. . .</w:t>
      </w:r>
      <w:r w:rsidR="00BD70BA" w:rsidRPr="00E52611">
        <w:rPr>
          <w:rFonts w:eastAsia="Times New Roman"/>
          <w:lang w:eastAsia="en-US"/>
        </w:rPr>
        <w:t xml:space="preserve"> death sentences for any blacklisted organization</w:t>
      </w:r>
      <w:r w:rsidR="00905D6E" w:rsidRPr="00E52611">
        <w:rPr>
          <w:rFonts w:eastAsia="Times New Roman"/>
          <w:lang w:eastAsia="en-US"/>
        </w:rPr>
        <w:t>.</w:t>
      </w:r>
      <w:r w:rsidR="00264EFE" w:rsidRPr="00E52611">
        <w:rPr>
          <w:rFonts w:eastAsia="Times New Roman"/>
          <w:lang w:eastAsia="en-US"/>
        </w:rPr>
        <w:t>”</w:t>
      </w:r>
      <w:r w:rsidR="004D27BA" w:rsidRPr="00E52611">
        <w:rPr>
          <w:rFonts w:eastAsia="Times New Roman"/>
          <w:lang w:eastAsia="en-US"/>
        </w:rPr>
        <w:t xml:space="preserve"> </w:t>
      </w:r>
      <w:r w:rsidR="00905D6E" w:rsidRPr="00E52611">
        <w:rPr>
          <w:rFonts w:eastAsia="Times New Roman"/>
          <w:lang w:eastAsia="en-US"/>
        </w:rPr>
        <w:t>As such, he reasoned that the measures</w:t>
      </w:r>
      <w:r w:rsidR="004D27BA" w:rsidRPr="00E52611">
        <w:rPr>
          <w:rFonts w:eastAsia="Times New Roman"/>
          <w:lang w:eastAsia="en-US"/>
        </w:rPr>
        <w:t xml:space="preserve"> possessed “almost every quality of bills of attainder.”</w:t>
      </w:r>
      <w:r w:rsidR="00264EFE" w:rsidRPr="00E52611">
        <w:rPr>
          <w:rFonts w:eastAsia="Times New Roman"/>
          <w:lang w:eastAsia="en-US"/>
        </w:rPr>
        <w:t xml:space="preserve"> </w:t>
      </w:r>
      <w:r w:rsidR="00DF0559" w:rsidRPr="00E52611">
        <w:fldChar w:fldCharType="begin"/>
      </w:r>
      <w:r w:rsidR="00E52611" w:rsidRPr="00E52611">
        <w:instrText xml:space="preserve"> ADDIN BA \xc &lt;@$id&gt; \xl 13 \s ID \xhfl Rep </w:instrText>
      </w:r>
      <w:r w:rsidR="00DF0559" w:rsidRPr="00E52611">
        <w:fldChar w:fldCharType="end"/>
      </w:r>
      <w:r w:rsidR="00264EFE" w:rsidRPr="00E52611">
        <w:rPr>
          <w:rFonts w:eastAsia="Times New Roman"/>
          <w:i/>
          <w:lang w:eastAsia="en-US"/>
        </w:rPr>
        <w:t>Id.</w:t>
      </w:r>
      <w:r w:rsidR="00120AFA" w:rsidRPr="00E52611">
        <w:rPr>
          <w:rFonts w:eastAsia="Times New Roman"/>
          <w:i/>
          <w:lang w:eastAsia="en-US"/>
        </w:rPr>
        <w:t xml:space="preserve"> </w:t>
      </w:r>
      <w:r w:rsidR="004D27BA" w:rsidRPr="00E52611">
        <w:rPr>
          <w:rFonts w:eastAsia="Times New Roman"/>
          <w:lang w:eastAsia="en-US"/>
        </w:rPr>
        <w:t>at 143-44.</w:t>
      </w:r>
      <w:r w:rsidR="00264EFE" w:rsidRPr="00E52611">
        <w:rPr>
          <w:rFonts w:eastAsia="Times New Roman"/>
          <w:i/>
          <w:lang w:eastAsia="en-US"/>
        </w:rPr>
        <w:t xml:space="preserve"> </w:t>
      </w:r>
      <w:r w:rsidR="00A37F26" w:rsidRPr="00E52611">
        <w:rPr>
          <w:rFonts w:eastAsia="Times New Roman"/>
          <w:lang w:eastAsia="en-US"/>
        </w:rPr>
        <w:t xml:space="preserve">The concurrence </w:t>
      </w:r>
      <w:r w:rsidR="00264EFE" w:rsidRPr="00E52611">
        <w:rPr>
          <w:rFonts w:eastAsia="Times New Roman"/>
          <w:lang w:eastAsia="en-US"/>
        </w:rPr>
        <w:t xml:space="preserve">stated that the </w:t>
      </w:r>
      <w:r w:rsidR="0008767A" w:rsidRPr="00E52611">
        <w:rPr>
          <w:rFonts w:eastAsia="Times New Roman"/>
          <w:lang w:eastAsia="en-US"/>
        </w:rPr>
        <w:t xml:space="preserve">Attorney General’s system </w:t>
      </w:r>
      <w:r w:rsidR="007C335D" w:rsidRPr="00E52611">
        <w:rPr>
          <w:rFonts w:eastAsia="Times New Roman"/>
          <w:lang w:eastAsia="en-US"/>
        </w:rPr>
        <w:t>“effectively punishe[d]</w:t>
      </w:r>
      <w:r w:rsidR="00264EFE" w:rsidRPr="00E52611">
        <w:rPr>
          <w:rFonts w:eastAsia="Times New Roman"/>
          <w:lang w:eastAsia="en-US"/>
        </w:rPr>
        <w:t xml:space="preserve"> many organizations and their members merely because of their p</w:t>
      </w:r>
      <w:r w:rsidR="007C335D" w:rsidRPr="00E52611">
        <w:rPr>
          <w:rFonts w:eastAsia="Times New Roman"/>
          <w:lang w:eastAsia="en-US"/>
        </w:rPr>
        <w:t>olitical beliefs and utterances.</w:t>
      </w:r>
      <w:r w:rsidR="00264EFE" w:rsidRPr="00E52611">
        <w:rPr>
          <w:rFonts w:eastAsia="Times New Roman"/>
          <w:lang w:eastAsia="en-US"/>
        </w:rPr>
        <w:t xml:space="preserve">” </w:t>
      </w:r>
      <w:r w:rsidR="00DF0559" w:rsidRPr="00E52611">
        <w:fldChar w:fldCharType="begin"/>
      </w:r>
      <w:r w:rsidR="00E52611" w:rsidRPr="00E52611">
        <w:instrText xml:space="preserve"> ADDIN BA \xc &lt;@$id&gt; \xl 10 \s ID \xhfl Rep </w:instrText>
      </w:r>
      <w:r w:rsidR="00DF0559" w:rsidRPr="00E52611">
        <w:fldChar w:fldCharType="end"/>
      </w:r>
      <w:r w:rsidR="00F3288B" w:rsidRPr="00E52611">
        <w:rPr>
          <w:rFonts w:eastAsia="Times New Roman"/>
          <w:i/>
          <w:lang w:eastAsia="en-US"/>
        </w:rPr>
        <w:t xml:space="preserve">Id. </w:t>
      </w:r>
      <w:r w:rsidR="00F3288B" w:rsidRPr="00E52611">
        <w:rPr>
          <w:rFonts w:eastAsia="Times New Roman"/>
          <w:lang w:eastAsia="en-US"/>
        </w:rPr>
        <w:t xml:space="preserve">at 144. </w:t>
      </w:r>
    </w:p>
    <w:p w:rsidR="009228BA" w:rsidRPr="00E52611" w:rsidRDefault="005519FD" w:rsidP="001F3031">
      <w:pPr>
        <w:spacing w:line="480" w:lineRule="auto"/>
        <w:rPr>
          <w:rFonts w:eastAsia="Times New Roman"/>
          <w:i/>
          <w:lang w:eastAsia="en-US"/>
        </w:rPr>
      </w:pPr>
      <w:r w:rsidRPr="00E52611">
        <w:rPr>
          <w:rFonts w:eastAsia="Times New Roman"/>
          <w:lang w:eastAsia="en-US"/>
        </w:rPr>
        <w:tab/>
      </w:r>
      <w:r w:rsidR="009F39D9" w:rsidRPr="00E52611">
        <w:rPr>
          <w:rFonts w:eastAsia="Times New Roman"/>
          <w:lang w:eastAsia="en-US"/>
        </w:rPr>
        <w:t xml:space="preserve">The </w:t>
      </w:r>
      <w:r w:rsidR="0087344C" w:rsidRPr="00E52611">
        <w:rPr>
          <w:rFonts w:eastAsia="Times New Roman"/>
          <w:lang w:eastAsia="en-US"/>
        </w:rPr>
        <w:t>appropriations l</w:t>
      </w:r>
      <w:r w:rsidR="00F41DFB" w:rsidRPr="00E52611">
        <w:rPr>
          <w:rFonts w:eastAsia="Times New Roman"/>
          <w:lang w:eastAsia="en-US"/>
        </w:rPr>
        <w:t xml:space="preserve">aws mark ACORN and its affiliates with a note of infamy. </w:t>
      </w:r>
      <w:r w:rsidR="002F0FBA" w:rsidRPr="00E52611">
        <w:rPr>
          <w:rFonts w:eastAsia="Times New Roman"/>
          <w:lang w:eastAsia="en-US"/>
        </w:rPr>
        <w:t xml:space="preserve">In his </w:t>
      </w:r>
      <w:r w:rsidR="002F0FBA" w:rsidRPr="00E52611">
        <w:rPr>
          <w:rFonts w:eastAsia="Times New Roman"/>
          <w:i/>
          <w:lang w:eastAsia="en-US"/>
        </w:rPr>
        <w:t xml:space="preserve">McGrath </w:t>
      </w:r>
      <w:r w:rsidR="002F0FBA" w:rsidRPr="00E52611">
        <w:rPr>
          <w:rFonts w:eastAsia="Times New Roman"/>
          <w:lang w:eastAsia="en-US"/>
        </w:rPr>
        <w:t xml:space="preserve">concurrence, Justice Black considered the effect of the Attorney General’s actions in light of the political milieu in </w:t>
      </w:r>
      <w:r w:rsidR="005726A1" w:rsidRPr="00E52611">
        <w:rPr>
          <w:rFonts w:eastAsia="Times New Roman"/>
          <w:lang w:eastAsia="en-US"/>
        </w:rPr>
        <w:t>early Cold War America</w:t>
      </w:r>
      <w:r w:rsidR="002F0FBA" w:rsidRPr="00E52611">
        <w:rPr>
          <w:rFonts w:eastAsia="Times New Roman"/>
          <w:lang w:eastAsia="en-US"/>
        </w:rPr>
        <w:t xml:space="preserve">. </w:t>
      </w:r>
      <w:r w:rsidR="00DF0559" w:rsidRPr="00E52611">
        <w:fldChar w:fldCharType="begin"/>
      </w:r>
      <w:r w:rsidR="00E52611" w:rsidRPr="00E52611">
        <w:instrText xml:space="preserve"> ADDIN BA \xc &lt;@$oppt&gt; \xl 15 \s QOQUYW000086 </w:instrText>
      </w:r>
      <w:r w:rsidR="00DF0559" w:rsidRPr="00E52611">
        <w:fldChar w:fldCharType="end"/>
      </w:r>
      <w:bookmarkStart w:id="93" w:name="_BA_Cite_206"/>
      <w:r w:rsidR="002F0FBA" w:rsidRPr="00E52611">
        <w:rPr>
          <w:rFonts w:eastAsia="Times New Roman"/>
          <w:lang w:eastAsia="en-US"/>
        </w:rPr>
        <w:t>341 U.S. at 143</w:t>
      </w:r>
      <w:bookmarkEnd w:id="93"/>
      <w:r w:rsidR="002F0FBA" w:rsidRPr="00E52611">
        <w:rPr>
          <w:rFonts w:eastAsia="Times New Roman"/>
          <w:lang w:eastAsia="en-US"/>
        </w:rPr>
        <w:t xml:space="preserve">. </w:t>
      </w:r>
      <w:r w:rsidR="003D107C" w:rsidRPr="00E52611">
        <w:rPr>
          <w:rFonts w:eastAsia="Times New Roman"/>
          <w:lang w:eastAsia="en-US"/>
        </w:rPr>
        <w:t>Thus, the appropriations l</w:t>
      </w:r>
      <w:r w:rsidR="005726A1" w:rsidRPr="00E52611">
        <w:rPr>
          <w:rFonts w:eastAsia="Times New Roman"/>
          <w:lang w:eastAsia="en-US"/>
        </w:rPr>
        <w:t xml:space="preserve">aws should be considered in light of the anti-ACORN fervor </w:t>
      </w:r>
      <w:r w:rsidR="00B97231" w:rsidRPr="00E52611">
        <w:rPr>
          <w:rFonts w:eastAsia="Times New Roman"/>
          <w:lang w:eastAsia="en-US"/>
        </w:rPr>
        <w:t>that</w:t>
      </w:r>
      <w:r w:rsidR="00C035E0" w:rsidRPr="00E52611">
        <w:rPr>
          <w:rFonts w:eastAsia="Times New Roman"/>
          <w:lang w:eastAsia="en-US"/>
        </w:rPr>
        <w:t xml:space="preserve"> </w:t>
      </w:r>
      <w:r w:rsidR="005726A1" w:rsidRPr="00E52611">
        <w:rPr>
          <w:rFonts w:eastAsia="Times New Roman"/>
          <w:lang w:eastAsia="en-US"/>
        </w:rPr>
        <w:t xml:space="preserve">existed in 2008 and 2009. </w:t>
      </w:r>
      <w:r w:rsidR="00E532B3" w:rsidRPr="00E52611">
        <w:rPr>
          <w:rFonts w:eastAsia="Times New Roman"/>
          <w:lang w:eastAsia="en-US"/>
        </w:rPr>
        <w:t>Like</w:t>
      </w:r>
      <w:r w:rsidR="00E229C9" w:rsidRPr="00E52611">
        <w:rPr>
          <w:rFonts w:eastAsia="Times New Roman"/>
          <w:lang w:eastAsia="en-US"/>
        </w:rPr>
        <w:t xml:space="preserve"> the</w:t>
      </w:r>
      <w:r w:rsidR="00E532B3" w:rsidRPr="00E52611">
        <w:rPr>
          <w:rFonts w:eastAsia="Times New Roman"/>
          <w:lang w:eastAsia="en-US"/>
        </w:rPr>
        <w:t xml:space="preserve"> </w:t>
      </w:r>
      <w:r w:rsidR="00120AFA" w:rsidRPr="00E52611">
        <w:rPr>
          <w:rFonts w:eastAsia="Times New Roman"/>
          <w:lang w:eastAsia="en-US"/>
        </w:rPr>
        <w:t>Hatch Act in</w:t>
      </w:r>
      <w:r w:rsidR="00E532B3" w:rsidRPr="00E52611">
        <w:rPr>
          <w:rFonts w:eastAsia="Times New Roman"/>
          <w:lang w:eastAsia="en-US"/>
        </w:rPr>
        <w:t xml:space="preserve"> </w:t>
      </w:r>
      <w:r w:rsidR="00E532B3" w:rsidRPr="00E52611">
        <w:rPr>
          <w:rFonts w:eastAsia="Times New Roman"/>
          <w:i/>
          <w:lang w:eastAsia="en-US"/>
        </w:rPr>
        <w:t>McGrath</w:t>
      </w:r>
      <w:r w:rsidR="00E532B3" w:rsidRPr="00E52611">
        <w:rPr>
          <w:rFonts w:eastAsia="Times New Roman"/>
          <w:lang w:eastAsia="en-US"/>
        </w:rPr>
        <w:t>, the challenged laws</w:t>
      </w:r>
      <w:r w:rsidR="00120AFA" w:rsidRPr="00E52611">
        <w:rPr>
          <w:rFonts w:eastAsia="Times New Roman"/>
          <w:lang w:eastAsia="en-US"/>
        </w:rPr>
        <w:t xml:space="preserve"> here</w:t>
      </w:r>
      <w:r w:rsidR="005056EB" w:rsidRPr="00E52611">
        <w:rPr>
          <w:rFonts w:eastAsia="Times New Roman"/>
          <w:lang w:eastAsia="en-US"/>
        </w:rPr>
        <w:t xml:space="preserve"> blacklist </w:t>
      </w:r>
      <w:r w:rsidR="001861D2" w:rsidRPr="00E52611">
        <w:rPr>
          <w:rFonts w:eastAsia="Times New Roman"/>
          <w:lang w:eastAsia="en-US"/>
        </w:rPr>
        <w:t xml:space="preserve">ACORN </w:t>
      </w:r>
      <w:r w:rsidR="00CE3A65" w:rsidRPr="00E52611">
        <w:rPr>
          <w:rFonts w:eastAsia="Times New Roman"/>
          <w:lang w:eastAsia="en-US"/>
        </w:rPr>
        <w:t xml:space="preserve">by singling it out in five separate laws as unworthy of federal funding. </w:t>
      </w:r>
      <w:r w:rsidR="00CE3A65" w:rsidRPr="00E52611">
        <w:rPr>
          <w:rFonts w:eastAsia="Times New Roman"/>
          <w:i/>
          <w:lang w:eastAsia="en-US"/>
        </w:rPr>
        <w:t xml:space="preserve">See </w:t>
      </w:r>
      <w:r w:rsidR="00DF0559" w:rsidRPr="005F69CA">
        <w:rPr>
          <w:i/>
        </w:rPr>
        <w:fldChar w:fldCharType="begin"/>
      </w:r>
      <w:r w:rsidR="00E52611" w:rsidRPr="005F69CA">
        <w:rPr>
          <w:i/>
        </w:rPr>
        <w:instrText xml:space="preserve"> ADDIN BA \xc &lt;@$oppt&gt; \xl 15 \s QOQUYW000086 </w:instrText>
      </w:r>
      <w:r w:rsidR="00DF0559" w:rsidRPr="005F69CA">
        <w:rPr>
          <w:i/>
        </w:rPr>
        <w:fldChar w:fldCharType="end"/>
      </w:r>
      <w:r w:rsidR="005F69CA">
        <w:rPr>
          <w:rFonts w:eastAsia="Times New Roman"/>
          <w:i/>
          <w:lang w:eastAsia="en-US"/>
        </w:rPr>
        <w:t>id.</w:t>
      </w:r>
      <w:r w:rsidR="00CE3A65" w:rsidRPr="00E52611">
        <w:rPr>
          <w:rFonts w:eastAsia="Times New Roman"/>
          <w:i/>
          <w:lang w:eastAsia="en-US"/>
        </w:rPr>
        <w:t xml:space="preserve"> </w:t>
      </w:r>
      <w:r w:rsidR="00CE3A65" w:rsidRPr="00E52611">
        <w:rPr>
          <w:rFonts w:eastAsia="Times New Roman"/>
          <w:lang w:eastAsia="en-US"/>
        </w:rPr>
        <w:t>at 144. A</w:t>
      </w:r>
      <w:r w:rsidR="005F69CA">
        <w:rPr>
          <w:rFonts w:eastAsia="Times New Roman"/>
          <w:lang w:eastAsia="en-US"/>
        </w:rPr>
        <w:t>lso</w:t>
      </w:r>
      <w:r w:rsidR="00CE3A65" w:rsidRPr="00E52611">
        <w:rPr>
          <w:rFonts w:eastAsia="Times New Roman"/>
          <w:lang w:eastAsia="en-US"/>
        </w:rPr>
        <w:t xml:space="preserve"> </w:t>
      </w:r>
      <w:r w:rsidR="0040364A">
        <w:rPr>
          <w:rFonts w:eastAsia="Times New Roman"/>
          <w:lang w:eastAsia="en-US"/>
        </w:rPr>
        <w:t>similar to</w:t>
      </w:r>
      <w:r w:rsidR="00CE3A65" w:rsidRPr="00E52611">
        <w:rPr>
          <w:rFonts w:eastAsia="Times New Roman"/>
          <w:lang w:eastAsia="en-US"/>
        </w:rPr>
        <w:t xml:space="preserve"> </w:t>
      </w:r>
      <w:r w:rsidR="00CE3A65" w:rsidRPr="00E52611">
        <w:rPr>
          <w:rFonts w:eastAsia="Times New Roman"/>
          <w:i/>
          <w:lang w:eastAsia="en-US"/>
        </w:rPr>
        <w:t>McGrath</w:t>
      </w:r>
      <w:r w:rsidR="00672925">
        <w:rPr>
          <w:rFonts w:eastAsia="Times New Roman"/>
          <w:lang w:eastAsia="en-US"/>
        </w:rPr>
        <w:t>, evidence from the</w:t>
      </w:r>
      <w:r w:rsidR="005F69CA">
        <w:rPr>
          <w:rFonts w:eastAsia="Times New Roman"/>
          <w:lang w:eastAsia="en-US"/>
        </w:rPr>
        <w:t xml:space="preserve"> </w:t>
      </w:r>
      <w:r w:rsidR="00672925">
        <w:rPr>
          <w:rFonts w:eastAsia="Times New Roman"/>
          <w:lang w:eastAsia="en-US"/>
        </w:rPr>
        <w:t>legislative history</w:t>
      </w:r>
      <w:r w:rsidR="005F69CA">
        <w:rPr>
          <w:rFonts w:eastAsia="Times New Roman"/>
          <w:lang w:eastAsia="en-US"/>
        </w:rPr>
        <w:t xml:space="preserve"> demonstrates that </w:t>
      </w:r>
      <w:r w:rsidR="00CE3A65" w:rsidRPr="00E52611">
        <w:rPr>
          <w:rFonts w:eastAsia="Times New Roman"/>
          <w:lang w:eastAsia="en-US"/>
        </w:rPr>
        <w:t xml:space="preserve">Congress enacted the legislation </w:t>
      </w:r>
      <w:r w:rsidR="00332B7F" w:rsidRPr="00E52611">
        <w:rPr>
          <w:rFonts w:eastAsia="Times New Roman"/>
          <w:lang w:eastAsia="en-US"/>
        </w:rPr>
        <w:t>“</w:t>
      </w:r>
      <w:r w:rsidR="00CE3A65" w:rsidRPr="00E52611">
        <w:rPr>
          <w:rFonts w:eastAsia="Times New Roman"/>
          <w:lang w:eastAsia="en-US"/>
        </w:rPr>
        <w:t>because of” ACORN’s “</w:t>
      </w:r>
      <w:r w:rsidR="006E43AB" w:rsidRPr="00E52611">
        <w:rPr>
          <w:rFonts w:eastAsia="Times New Roman"/>
          <w:lang w:eastAsia="en-US"/>
        </w:rPr>
        <w:t>political beliefs and utterances</w:t>
      </w:r>
      <w:r w:rsidR="00CE3A65" w:rsidRPr="00E52611">
        <w:rPr>
          <w:rFonts w:eastAsia="Times New Roman"/>
          <w:lang w:eastAsia="en-US"/>
        </w:rPr>
        <w:t>.</w:t>
      </w:r>
      <w:r w:rsidR="006E43AB" w:rsidRPr="00E52611">
        <w:rPr>
          <w:rFonts w:eastAsia="Times New Roman"/>
          <w:lang w:eastAsia="en-US"/>
        </w:rPr>
        <w:t>”</w:t>
      </w:r>
      <w:r w:rsidR="00332B7F" w:rsidRPr="00E52611">
        <w:rPr>
          <w:rFonts w:eastAsia="Times New Roman"/>
          <w:lang w:eastAsia="en-US"/>
        </w:rPr>
        <w:t xml:space="preserve"> </w:t>
      </w:r>
      <w:r w:rsidR="00644BCD" w:rsidRPr="00E52611">
        <w:rPr>
          <w:rFonts w:eastAsia="Times New Roman"/>
          <w:i/>
          <w:lang w:eastAsia="en-US"/>
        </w:rPr>
        <w:t xml:space="preserve">See </w:t>
      </w:r>
      <w:r w:rsidR="00DF0559" w:rsidRPr="00E52611">
        <w:fldChar w:fldCharType="begin"/>
      </w:r>
      <w:r w:rsidR="00E52611" w:rsidRPr="00E52611">
        <w:instrText xml:space="preserve"> ADDIN BA \xc &lt;@$id&gt; \xl 3 \s ID </w:instrText>
      </w:r>
      <w:r w:rsidR="00DF0559" w:rsidRPr="00E52611">
        <w:fldChar w:fldCharType="end"/>
      </w:r>
      <w:r w:rsidR="00644BCD" w:rsidRPr="00E52611">
        <w:rPr>
          <w:rFonts w:eastAsia="Times New Roman"/>
          <w:i/>
          <w:lang w:eastAsia="en-US"/>
        </w:rPr>
        <w:t>i</w:t>
      </w:r>
      <w:r w:rsidR="00CE3A65" w:rsidRPr="00E52611">
        <w:rPr>
          <w:rFonts w:eastAsia="Times New Roman"/>
          <w:i/>
          <w:lang w:eastAsia="en-US"/>
        </w:rPr>
        <w:t xml:space="preserve">d. </w:t>
      </w:r>
    </w:p>
    <w:p w:rsidR="005519FD" w:rsidRPr="00E52611" w:rsidRDefault="009228BA" w:rsidP="001F3031">
      <w:pPr>
        <w:spacing w:line="480" w:lineRule="auto"/>
        <w:rPr>
          <w:rFonts w:eastAsia="Times New Roman"/>
          <w:lang w:eastAsia="en-US"/>
        </w:rPr>
      </w:pPr>
      <w:r w:rsidRPr="00E52611">
        <w:rPr>
          <w:rFonts w:eastAsia="Times New Roman"/>
          <w:lang w:eastAsia="en-US"/>
        </w:rPr>
        <w:tab/>
        <w:t>Moreover, much l</w:t>
      </w:r>
      <w:r w:rsidR="00F41DFB" w:rsidRPr="00E52611">
        <w:rPr>
          <w:rFonts w:eastAsia="Times New Roman"/>
          <w:lang w:eastAsia="en-US"/>
        </w:rPr>
        <w:t xml:space="preserve">ike </w:t>
      </w:r>
      <w:r w:rsidR="007935EE" w:rsidRPr="00E52611">
        <w:rPr>
          <w:rFonts w:eastAsia="Times New Roman"/>
          <w:lang w:eastAsia="en-US"/>
        </w:rPr>
        <w:t xml:space="preserve">the plaintiffs in </w:t>
      </w:r>
      <w:r w:rsidR="00DF0559" w:rsidRPr="00E52611">
        <w:fldChar w:fldCharType="begin"/>
      </w:r>
      <w:r w:rsidR="00E52611" w:rsidRPr="00E52611">
        <w:instrText xml:space="preserve"> ADDIN BA \xc &lt;@$cs&gt; \xl 6 \s QOQUYW000035 </w:instrText>
      </w:r>
      <w:r w:rsidR="00DF0559" w:rsidRPr="00E52611">
        <w:fldChar w:fldCharType="end"/>
      </w:r>
      <w:r w:rsidR="007935EE" w:rsidRPr="00E52611">
        <w:rPr>
          <w:rFonts w:eastAsia="Times New Roman"/>
          <w:i/>
          <w:lang w:eastAsia="en-US"/>
        </w:rPr>
        <w:t xml:space="preserve">Lovett </w:t>
      </w:r>
      <w:r w:rsidR="007935EE" w:rsidRPr="00E52611">
        <w:rPr>
          <w:rFonts w:eastAsia="Times New Roman"/>
          <w:lang w:eastAsia="en-US"/>
        </w:rPr>
        <w:t xml:space="preserve">and </w:t>
      </w:r>
      <w:r w:rsidR="001725A2">
        <w:rPr>
          <w:rFonts w:eastAsia="Times New Roman"/>
          <w:i/>
          <w:lang w:eastAsia="en-US"/>
        </w:rPr>
        <w:t>Foretich</w:t>
      </w:r>
      <w:r w:rsidR="00F41DFB" w:rsidRPr="00E52611">
        <w:rPr>
          <w:rFonts w:eastAsia="Times New Roman"/>
          <w:lang w:eastAsia="en-US"/>
        </w:rPr>
        <w:t>, ACORN has become a pariah</w:t>
      </w:r>
      <w:r w:rsidRPr="00E52611">
        <w:rPr>
          <w:rFonts w:eastAsia="Times New Roman"/>
          <w:lang w:eastAsia="en-US"/>
        </w:rPr>
        <w:t xml:space="preserve"> as a result of the challenged statute</w:t>
      </w:r>
      <w:r w:rsidR="00F41DFB" w:rsidRPr="00E52611">
        <w:rPr>
          <w:rFonts w:eastAsia="Times New Roman"/>
          <w:lang w:eastAsia="en-US"/>
        </w:rPr>
        <w:t>.</w:t>
      </w:r>
      <w:r w:rsidR="00407954" w:rsidRPr="00E52611">
        <w:rPr>
          <w:rFonts w:eastAsia="Times New Roman"/>
          <w:lang w:eastAsia="en-US"/>
        </w:rPr>
        <w:t xml:space="preserve"> </w:t>
      </w:r>
      <w:r w:rsidR="00407954" w:rsidRPr="00E52611">
        <w:rPr>
          <w:rFonts w:eastAsia="Times New Roman"/>
          <w:i/>
          <w:lang w:eastAsia="en-US"/>
        </w:rPr>
        <w:t xml:space="preserve">See </w:t>
      </w:r>
      <w:r w:rsidR="00DF0559" w:rsidRPr="00E52611">
        <w:fldChar w:fldCharType="begin"/>
      </w:r>
      <w:r w:rsidR="00E52611" w:rsidRPr="00E52611">
        <w:instrText xml:space="preserve"> ADDIN BA \xc &lt;@$cs&gt; \xl 22 \s QOQUYW000035 \xhfl Rep </w:instrText>
      </w:r>
      <w:r w:rsidR="00DF0559" w:rsidRPr="00E52611">
        <w:fldChar w:fldCharType="end"/>
      </w:r>
      <w:r w:rsidR="00867B25" w:rsidRPr="00E52611">
        <w:rPr>
          <w:rFonts w:eastAsia="Times New Roman"/>
          <w:i/>
          <w:lang w:eastAsia="en-US"/>
        </w:rPr>
        <w:t>Lovett</w:t>
      </w:r>
      <w:r w:rsidR="006E2162" w:rsidRPr="00E52611">
        <w:rPr>
          <w:rFonts w:eastAsia="Times New Roman"/>
          <w:i/>
          <w:lang w:eastAsia="en-US"/>
        </w:rPr>
        <w:t xml:space="preserve"> </w:t>
      </w:r>
      <w:r w:rsidR="006E2162" w:rsidRPr="00E52611">
        <w:rPr>
          <w:rFonts w:eastAsia="Times New Roman"/>
          <w:lang w:eastAsia="en-US"/>
        </w:rPr>
        <w:t>328 U.S. at 314</w:t>
      </w:r>
      <w:r w:rsidR="00867B25" w:rsidRPr="00E52611">
        <w:rPr>
          <w:rFonts w:eastAsia="Times New Roman"/>
          <w:lang w:eastAsia="en-US"/>
        </w:rPr>
        <w:t xml:space="preserve">; </w:t>
      </w:r>
      <w:r w:rsidR="00DF0559" w:rsidRPr="00E52611">
        <w:fldChar w:fldCharType="begin"/>
      </w:r>
      <w:r w:rsidR="00E52611" w:rsidRPr="00E52611">
        <w:instrText xml:space="preserve"> ADDIN BA \xc &lt;@$cs&gt; \xl 26 \s QOQUYW000036 \xhfl Rep </w:instrText>
      </w:r>
      <w:r w:rsidR="00DF0559" w:rsidRPr="00E52611">
        <w:fldChar w:fldCharType="end"/>
      </w:r>
      <w:r w:rsidR="00867B25" w:rsidRPr="00E52611">
        <w:rPr>
          <w:rFonts w:eastAsia="Times New Roman"/>
          <w:i/>
          <w:lang w:eastAsia="en-US"/>
        </w:rPr>
        <w:t>Foretich</w:t>
      </w:r>
      <w:r w:rsidR="00867B25" w:rsidRPr="00E52611">
        <w:rPr>
          <w:rFonts w:eastAsia="Times New Roman"/>
          <w:lang w:eastAsia="en-US"/>
        </w:rPr>
        <w:t xml:space="preserve">, </w:t>
      </w:r>
      <w:r w:rsidR="00407954" w:rsidRPr="00E52611">
        <w:rPr>
          <w:rFonts w:eastAsia="Times New Roman"/>
          <w:lang w:eastAsia="en-US"/>
        </w:rPr>
        <w:t xml:space="preserve">351 F.3d at 1220. </w:t>
      </w:r>
      <w:r w:rsidR="00B61AA8" w:rsidRPr="00E52611">
        <w:rPr>
          <w:rFonts w:eastAsia="Times New Roman"/>
          <w:lang w:eastAsia="en-US"/>
        </w:rPr>
        <w:t xml:space="preserve">Following the first appropriations measure, ACORN lost funding from long-time supporters including the Ford </w:t>
      </w:r>
      <w:r w:rsidR="00B61AA8" w:rsidRPr="00E52611">
        <w:rPr>
          <w:rFonts w:eastAsia="Times New Roman"/>
          <w:lang w:eastAsia="en-US"/>
        </w:rPr>
        <w:lastRenderedPageBreak/>
        <w:t>Foundation and the Annie E. Casey Foundati</w:t>
      </w:r>
      <w:r w:rsidR="0097646E" w:rsidRPr="00E52611">
        <w:rPr>
          <w:rFonts w:eastAsia="Times New Roman"/>
          <w:lang w:eastAsia="en-US"/>
        </w:rPr>
        <w:t>on.</w:t>
      </w:r>
      <w:r w:rsidR="0097646E" w:rsidRPr="00E52611">
        <w:rPr>
          <w:rStyle w:val="FootnoteReference"/>
          <w:rFonts w:eastAsia="Times New Roman"/>
          <w:lang w:eastAsia="en-US"/>
        </w:rPr>
        <w:footnoteReference w:id="6"/>
      </w:r>
      <w:r w:rsidR="0097646E" w:rsidRPr="00E52611">
        <w:rPr>
          <w:rFonts w:eastAsia="Times New Roman"/>
          <w:lang w:eastAsia="en-US"/>
        </w:rPr>
        <w:t xml:space="preserve"> </w:t>
      </w:r>
      <w:r w:rsidR="00417116" w:rsidRPr="00E52611">
        <w:rPr>
          <w:rFonts w:eastAsia="Times New Roman"/>
          <w:lang w:eastAsia="en-US"/>
        </w:rPr>
        <w:t xml:space="preserve">And in March 2010, ACORN announced it would be terminating its field operations due to loss of federal and other funding. </w:t>
      </w:r>
      <w:r w:rsidR="00865E2B" w:rsidRPr="00E52611">
        <w:rPr>
          <w:rFonts w:eastAsia="Times New Roman"/>
          <w:lang w:eastAsia="en-US"/>
        </w:rPr>
        <w:t>GAO Report at 2.</w:t>
      </w:r>
    </w:p>
    <w:p w:rsidR="009B0A65" w:rsidRPr="00E52611" w:rsidRDefault="007C0D3A" w:rsidP="00AF04F3">
      <w:pPr>
        <w:pStyle w:val="Heading5"/>
        <w:spacing w:line="480" w:lineRule="auto"/>
        <w:ind w:left="2880" w:hanging="720"/>
        <w:rPr>
          <w:i/>
          <w:lang w:eastAsia="en-US"/>
        </w:rPr>
      </w:pPr>
      <w:r w:rsidRPr="00E52611">
        <w:rPr>
          <w:lang w:eastAsia="en-US"/>
        </w:rPr>
        <w:t>b</w:t>
      </w:r>
      <w:r w:rsidR="00C31261" w:rsidRPr="00E52611">
        <w:rPr>
          <w:lang w:eastAsia="en-US"/>
        </w:rPr>
        <w:t>.</w:t>
      </w:r>
      <w:r w:rsidR="00C31261" w:rsidRPr="00E52611">
        <w:rPr>
          <w:i/>
          <w:lang w:eastAsia="en-US"/>
        </w:rPr>
        <w:t xml:space="preserve"> </w:t>
      </w:r>
      <w:r w:rsidR="00A12863" w:rsidRPr="00E52611">
        <w:rPr>
          <w:i/>
          <w:lang w:eastAsia="en-US"/>
        </w:rPr>
        <w:tab/>
      </w:r>
      <w:r w:rsidR="00307E7E" w:rsidRPr="00E52611">
        <w:rPr>
          <w:i/>
          <w:lang w:eastAsia="en-US"/>
        </w:rPr>
        <w:t>Statutory language need not mention g</w:t>
      </w:r>
      <w:r w:rsidR="002939D6" w:rsidRPr="00E52611">
        <w:rPr>
          <w:i/>
          <w:lang w:eastAsia="en-US"/>
        </w:rPr>
        <w:t xml:space="preserve">uilt </w:t>
      </w:r>
      <w:r w:rsidR="00392E74" w:rsidRPr="00E52611">
        <w:rPr>
          <w:i/>
          <w:lang w:eastAsia="en-US"/>
        </w:rPr>
        <w:t xml:space="preserve"> </w:t>
      </w:r>
    </w:p>
    <w:p w:rsidR="00C24F81" w:rsidRPr="00E52611" w:rsidRDefault="00FE268F" w:rsidP="00C24F81">
      <w:pPr>
        <w:spacing w:line="480" w:lineRule="auto"/>
        <w:rPr>
          <w:i/>
        </w:rPr>
      </w:pPr>
      <w:r w:rsidRPr="00E52611">
        <w:rPr>
          <w:rFonts w:eastAsia="Times New Roman"/>
          <w:lang w:eastAsia="en-US"/>
        </w:rPr>
        <w:tab/>
      </w:r>
      <w:r w:rsidR="003341C6" w:rsidRPr="00E52611">
        <w:t xml:space="preserve">The court of appeals </w:t>
      </w:r>
      <w:r w:rsidR="00714715" w:rsidRPr="00E52611">
        <w:t>found relevant</w:t>
      </w:r>
      <w:r w:rsidR="003341C6" w:rsidRPr="00E52611">
        <w:t xml:space="preserve"> that “despite statements about ACORN’s guilt on the legislative floor, the appropriations laws themselves do not mention ACORN’s guilt in any way</w:t>
      </w:r>
      <w:r w:rsidR="00E264B8" w:rsidRPr="00E52611">
        <w:t>.</w:t>
      </w:r>
      <w:r w:rsidR="003341C6" w:rsidRPr="00E52611">
        <w:t xml:space="preserve">” </w:t>
      </w:r>
      <w:r w:rsidR="00DF0559" w:rsidRPr="00E52611">
        <w:fldChar w:fldCharType="begin"/>
      </w:r>
      <w:r w:rsidR="00E52611" w:rsidRPr="00E52611">
        <w:instrText xml:space="preserve"> ADDIN BA \xc &lt;@rec&gt; \xl 10 \s QOQUYW000087 \xpl 1 \l "(R. at 16)" </w:instrText>
      </w:r>
      <w:r w:rsidR="00DF0559" w:rsidRPr="00E52611">
        <w:fldChar w:fldCharType="end"/>
      </w:r>
      <w:bookmarkStart w:id="94" w:name="_BA_Cite_207"/>
      <w:r w:rsidR="00120AFA" w:rsidRPr="00E52611">
        <w:t>(R. at 16)</w:t>
      </w:r>
      <w:bookmarkEnd w:id="94"/>
      <w:r w:rsidR="003341C6" w:rsidRPr="00E52611">
        <w:t>.</w:t>
      </w:r>
      <w:r w:rsidR="00E264B8" w:rsidRPr="00E52611">
        <w:t xml:space="preserve"> But the “prohibition of the Constitution was intended to secure the rights of the citizen . . . </w:t>
      </w:r>
      <w:r w:rsidR="00E264B8" w:rsidRPr="00E52611">
        <w:rPr>
          <w:i/>
        </w:rPr>
        <w:t>under any form, however disguised</w:t>
      </w:r>
      <w:r w:rsidR="00E264B8" w:rsidRPr="00E52611">
        <w:t xml:space="preserve">.” </w:t>
      </w:r>
      <w:r w:rsidR="00DF0559" w:rsidRPr="00E52611">
        <w:fldChar w:fldCharType="begin"/>
      </w:r>
      <w:r w:rsidR="00E52611" w:rsidRPr="00E52611">
        <w:instrText xml:space="preserve"> ADDIN BA \xc &lt;@$cs&gt; \xl 24 \s QOQUYW000038 \xhfl Rep </w:instrText>
      </w:r>
      <w:r w:rsidR="00DF0559" w:rsidRPr="00E52611">
        <w:fldChar w:fldCharType="end"/>
      </w:r>
      <w:r w:rsidR="00E264B8" w:rsidRPr="00E52611">
        <w:rPr>
          <w:i/>
        </w:rPr>
        <w:t>Cummings</w:t>
      </w:r>
      <w:r w:rsidR="00E264B8" w:rsidRPr="00E52611">
        <w:t>, 71 U.S. at 278</w:t>
      </w:r>
      <w:r w:rsidR="00C97862" w:rsidRPr="00E52611">
        <w:t xml:space="preserve"> (emphasis added)</w:t>
      </w:r>
      <w:r w:rsidR="00E264B8" w:rsidRPr="00E52611">
        <w:t xml:space="preserve">. </w:t>
      </w:r>
      <w:r w:rsidR="00A01DD7" w:rsidRPr="00E52611">
        <w:t>C</w:t>
      </w:r>
      <w:r w:rsidR="00C76BFA" w:rsidRPr="00E52611">
        <w:t xml:space="preserve">lever drafting cannot save </w:t>
      </w:r>
      <w:r w:rsidR="00A06F56" w:rsidRPr="00E52611">
        <w:t>the appropriations b</w:t>
      </w:r>
      <w:r w:rsidR="00383447" w:rsidRPr="00E52611">
        <w:t>ills</w:t>
      </w:r>
      <w:r w:rsidR="00C76BFA" w:rsidRPr="00E52611">
        <w:t xml:space="preserve">. </w:t>
      </w:r>
      <w:r w:rsidR="0051497F" w:rsidRPr="00E52611">
        <w:t xml:space="preserve">In a similar case, the Florida state legislature passed a statute specifically denying appropriation of state funds to a youth-oriented non-profit. </w:t>
      </w:r>
      <w:r w:rsidR="00DF0559" w:rsidRPr="00E52611">
        <w:fldChar w:fldCharType="begin"/>
      </w:r>
      <w:r w:rsidR="00E52611" w:rsidRPr="00E52611">
        <w:instrText xml:space="preserve"> ADDIN BA \xc &lt;@cs&gt; \xl 118 \s QOQUYW000043 \xhfl Rep \l "</w:instrText>
      </w:r>
      <w:r w:rsidR="00E52611" w:rsidRPr="00E52611">
        <w:rPr>
          <w:i/>
        </w:rPr>
        <w:instrText>Fla. Youth Conservation Corps., Inc. v. Suttler</w:instrText>
      </w:r>
      <w:r w:rsidR="00E52611" w:rsidRPr="00E52611">
        <w:instrText xml:space="preserve">,&lt;SoftRt&gt; 2006 WL 1835967 No. 4:06CV275-RH/WCS, at *1 (N.D. Fla. June 30, 2006)" </w:instrText>
      </w:r>
      <w:r w:rsidR="00DF0559" w:rsidRPr="00E52611">
        <w:fldChar w:fldCharType="end"/>
      </w:r>
      <w:bookmarkStart w:id="95" w:name="_BA_Cite_208"/>
      <w:r w:rsidR="00497CA8" w:rsidRPr="00E52611">
        <w:rPr>
          <w:i/>
        </w:rPr>
        <w:t>Fla.</w:t>
      </w:r>
      <w:r w:rsidR="00AC083C" w:rsidRPr="00E52611">
        <w:rPr>
          <w:i/>
        </w:rPr>
        <w:t xml:space="preserve"> Youth Conservation Corps., Inc. v. Suttler</w:t>
      </w:r>
      <w:r w:rsidR="00AC083C" w:rsidRPr="00E52611">
        <w:t>, 2006 WL 1835967 No. 4:06CV275-RH/WCS</w:t>
      </w:r>
      <w:r w:rsidR="00FB4C33" w:rsidRPr="00E52611">
        <w:t>, at *1</w:t>
      </w:r>
      <w:r w:rsidR="00AC083C" w:rsidRPr="00E52611">
        <w:t xml:space="preserve"> (N.D. Fla. June 30, 2006)</w:t>
      </w:r>
      <w:bookmarkEnd w:id="95"/>
      <w:r w:rsidR="00AC083C" w:rsidRPr="00E52611">
        <w:t xml:space="preserve">. </w:t>
      </w:r>
      <w:r w:rsidR="00FB4C33" w:rsidRPr="00E52611">
        <w:t xml:space="preserve">Like the </w:t>
      </w:r>
      <w:r w:rsidR="00E434F7" w:rsidRPr="00E52611">
        <w:t>appropriations l</w:t>
      </w:r>
      <w:r w:rsidR="00854D72" w:rsidRPr="00E52611">
        <w:t>aws</w:t>
      </w:r>
      <w:r w:rsidR="00FB4C33" w:rsidRPr="00E52611">
        <w:t>, t</w:t>
      </w:r>
      <w:r w:rsidR="00087F9A" w:rsidRPr="00E52611">
        <w:t>he statute</w:t>
      </w:r>
      <w:r w:rsidR="002E54E1" w:rsidRPr="00E52611">
        <w:t xml:space="preserve"> there did not </w:t>
      </w:r>
      <w:r w:rsidR="00087F9A" w:rsidRPr="00E52611">
        <w:t>contain language naming</w:t>
      </w:r>
      <w:r w:rsidR="002E54E1" w:rsidRPr="00E52611">
        <w:t xml:space="preserve"> </w:t>
      </w:r>
      <w:r w:rsidR="00C24F81" w:rsidRPr="00E52611">
        <w:t xml:space="preserve">the </w:t>
      </w:r>
      <w:r w:rsidR="002E54E1" w:rsidRPr="00E52611">
        <w:t xml:space="preserve">nonprofit </w:t>
      </w:r>
      <w:r w:rsidR="00087F9A" w:rsidRPr="00E52611">
        <w:t>guilty of wrongdoing</w:t>
      </w:r>
      <w:r w:rsidR="00FB4C33" w:rsidRPr="00E52611">
        <w:t xml:space="preserve">. </w:t>
      </w:r>
      <w:r w:rsidR="00DF0559" w:rsidRPr="00E52611">
        <w:fldChar w:fldCharType="begin"/>
      </w:r>
      <w:r w:rsidR="00E52611" w:rsidRPr="00E52611">
        <w:instrText xml:space="preserve"> ADDIN BA \xc &lt;@$id&gt; \xl 9 \s ID \xhfl Rep </w:instrText>
      </w:r>
      <w:r w:rsidR="00DF0559" w:rsidRPr="00E52611">
        <w:fldChar w:fldCharType="end"/>
      </w:r>
      <w:r w:rsidR="00FB4C33" w:rsidRPr="00E52611">
        <w:rPr>
          <w:i/>
        </w:rPr>
        <w:t xml:space="preserve">Id. </w:t>
      </w:r>
      <w:r w:rsidR="00FB4C33" w:rsidRPr="00E52611">
        <w:t>at *2. But that did not stop the court from holding that the legislation constituted punishment, noting that “although the legislative enactment does not explicitly announce a finding of guilt on any specified charge, that is its obvious import[.]”</w:t>
      </w:r>
      <w:r w:rsidR="00882D3D" w:rsidRPr="00E52611">
        <w:t xml:space="preserve"> </w:t>
      </w:r>
      <w:r w:rsidR="00DF0559" w:rsidRPr="00E52611">
        <w:fldChar w:fldCharType="begin"/>
      </w:r>
      <w:r w:rsidR="00E52611" w:rsidRPr="00E52611">
        <w:instrText xml:space="preserve"> ADDIN BA \xc &lt;@$id&gt; \xl 3 \s ID </w:instrText>
      </w:r>
      <w:r w:rsidR="00DF0559" w:rsidRPr="00E52611">
        <w:fldChar w:fldCharType="end"/>
      </w:r>
      <w:r w:rsidR="00882D3D" w:rsidRPr="00E52611">
        <w:rPr>
          <w:i/>
        </w:rPr>
        <w:t xml:space="preserve">Id. </w:t>
      </w:r>
    </w:p>
    <w:p w:rsidR="00E1503C" w:rsidRPr="00E52611" w:rsidRDefault="00B10A14" w:rsidP="00E229C9">
      <w:pPr>
        <w:pStyle w:val="Heading3"/>
        <w:numPr>
          <w:ilvl w:val="0"/>
          <w:numId w:val="16"/>
        </w:numPr>
        <w:ind w:left="2160" w:hanging="720"/>
        <w:rPr>
          <w:b w:val="0"/>
          <w:u w:val="single"/>
        </w:rPr>
      </w:pPr>
      <w:bookmarkStart w:id="96" w:name="_Toc190667448"/>
      <w:r w:rsidRPr="00E52611">
        <w:rPr>
          <w:b w:val="0"/>
          <w:u w:val="single"/>
        </w:rPr>
        <w:lastRenderedPageBreak/>
        <w:t xml:space="preserve">The Appropriations Laws </w:t>
      </w:r>
      <w:r w:rsidR="007A2938" w:rsidRPr="00E52611">
        <w:rPr>
          <w:b w:val="0"/>
          <w:u w:val="single"/>
        </w:rPr>
        <w:t>Effectively Prevent ACORN from Performing</w:t>
      </w:r>
      <w:r w:rsidRPr="00E52611">
        <w:rPr>
          <w:b w:val="0"/>
          <w:u w:val="single"/>
        </w:rPr>
        <w:t xml:space="preserve"> its </w:t>
      </w:r>
      <w:r w:rsidR="00941785" w:rsidRPr="00E52611">
        <w:rPr>
          <w:b w:val="0"/>
          <w:u w:val="single"/>
        </w:rPr>
        <w:t xml:space="preserve">Lawful </w:t>
      </w:r>
      <w:r w:rsidR="007A2938" w:rsidRPr="00E52611">
        <w:rPr>
          <w:b w:val="0"/>
          <w:u w:val="single"/>
        </w:rPr>
        <w:t>Vocation</w:t>
      </w:r>
      <w:r w:rsidR="007C5BFC" w:rsidRPr="00E52611">
        <w:rPr>
          <w:b w:val="0"/>
          <w:u w:val="single"/>
        </w:rPr>
        <w:t>–</w:t>
      </w:r>
      <w:r w:rsidRPr="00E52611">
        <w:rPr>
          <w:b w:val="0"/>
          <w:u w:val="single"/>
        </w:rPr>
        <w:t>Providing Housing Services to Low Income Americans</w:t>
      </w:r>
      <w:bookmarkEnd w:id="96"/>
      <w:r w:rsidRPr="00E52611">
        <w:rPr>
          <w:b w:val="0"/>
          <w:u w:val="single"/>
        </w:rPr>
        <w:t xml:space="preserve"> </w:t>
      </w:r>
    </w:p>
    <w:p w:rsidR="00941785" w:rsidRPr="00E52611" w:rsidRDefault="00941785" w:rsidP="00941785"/>
    <w:p w:rsidR="0085502A" w:rsidRPr="00E52611" w:rsidRDefault="007F571E" w:rsidP="005E2A2A">
      <w:pPr>
        <w:pStyle w:val="ListParagraph"/>
        <w:spacing w:line="480" w:lineRule="auto"/>
        <w:ind w:left="0" w:firstLine="720"/>
      </w:pPr>
      <w:r w:rsidRPr="00E52611">
        <w:t xml:space="preserve">“Disqualification from the pursuits of lawful avocation” may be “and often has been, imposed as a punishment.” </w:t>
      </w:r>
      <w:r w:rsidR="00DF0559" w:rsidRPr="00E52611">
        <w:fldChar w:fldCharType="begin"/>
      </w:r>
      <w:r w:rsidR="00E52611" w:rsidRPr="00E52611">
        <w:instrText xml:space="preserve"> ADDIN BA \xc &lt;@$cs&gt; \xl 7 \s QOQUYW000039 </w:instrText>
      </w:r>
      <w:r w:rsidR="00DF0559" w:rsidRPr="00E52611">
        <w:fldChar w:fldCharType="end"/>
      </w:r>
      <w:bookmarkStart w:id="97" w:name="_BA_Cite_209"/>
      <w:r w:rsidR="00F72C60" w:rsidRPr="00E52611">
        <w:rPr>
          <w:i/>
        </w:rPr>
        <w:t>Garland</w:t>
      </w:r>
      <w:bookmarkEnd w:id="97"/>
      <w:r w:rsidR="00F72C60" w:rsidRPr="00E52611">
        <w:t xml:space="preserve">, </w:t>
      </w:r>
      <w:r w:rsidR="00DF0559" w:rsidRPr="00E52611">
        <w:fldChar w:fldCharType="begin"/>
      </w:r>
      <w:r w:rsidR="00E52611" w:rsidRPr="00E52611">
        <w:instrText xml:space="preserve"> ADDIN BA \xc &lt;@$cs&gt; \xl 14 \s QOQUYW000038 \xhfl Rep </w:instrText>
      </w:r>
      <w:r w:rsidR="00DF0559" w:rsidRPr="00E52611">
        <w:fldChar w:fldCharType="end"/>
      </w:r>
      <w:r w:rsidR="00F72C60" w:rsidRPr="00E52611">
        <w:t xml:space="preserve">71 U.S. at 320. </w:t>
      </w:r>
      <w:r w:rsidR="00D867E1" w:rsidRPr="00E52611">
        <w:t xml:space="preserve">When a statute </w:t>
      </w:r>
      <w:r w:rsidR="00FC28CB" w:rsidRPr="00E52611">
        <w:t xml:space="preserve">places restrictions on </w:t>
      </w:r>
      <w:r w:rsidR="005A5331" w:rsidRPr="00E52611">
        <w:t>a per</w:t>
      </w:r>
      <w:r w:rsidR="00FC28CB" w:rsidRPr="00E52611">
        <w:t>son or entity’s employment in</w:t>
      </w:r>
      <w:r w:rsidR="005A5331" w:rsidRPr="00E52611">
        <w:t xml:space="preserve"> response to </w:t>
      </w:r>
      <w:r w:rsidR="00E434F7" w:rsidRPr="00E52611">
        <w:t>their</w:t>
      </w:r>
      <w:r w:rsidR="00816DD2">
        <w:t xml:space="preserve"> prior</w:t>
      </w:r>
      <w:r w:rsidR="00E434F7" w:rsidRPr="00E52611">
        <w:t xml:space="preserve"> </w:t>
      </w:r>
      <w:r w:rsidR="005A5331" w:rsidRPr="00E52611">
        <w:t xml:space="preserve">objectionable actions, </w:t>
      </w:r>
      <w:r w:rsidR="005D41A1" w:rsidRPr="00E52611">
        <w:t xml:space="preserve">this amounts to </w:t>
      </w:r>
      <w:r w:rsidR="005A5331" w:rsidRPr="00E52611">
        <w:t xml:space="preserve">punishment under </w:t>
      </w:r>
      <w:r w:rsidR="00913083" w:rsidRPr="00E52611">
        <w:t xml:space="preserve">the </w:t>
      </w:r>
      <w:r w:rsidR="00DF0559" w:rsidRPr="00E52611">
        <w:fldChar w:fldCharType="begin"/>
      </w:r>
      <w:r w:rsidR="00E52611" w:rsidRPr="00E52611">
        <w:instrText xml:space="preserve"> ADDIN BA \xc &lt;@$osdv&gt; \xl 17 \s QOQUYW000074 </w:instrText>
      </w:r>
      <w:r w:rsidR="00DF0559" w:rsidRPr="00E52611">
        <w:fldChar w:fldCharType="end"/>
      </w:r>
      <w:r w:rsidR="00913083" w:rsidRPr="00E52611">
        <w:t>Attainder Clauses</w:t>
      </w:r>
      <w:r w:rsidR="00D867E1" w:rsidRPr="00E52611">
        <w:t xml:space="preserve">. </w:t>
      </w:r>
      <w:r w:rsidR="000C63F4" w:rsidRPr="00E52611">
        <w:rPr>
          <w:i/>
        </w:rPr>
        <w:t xml:space="preserve">See </w:t>
      </w:r>
      <w:r w:rsidR="00DF0559" w:rsidRPr="00E52611">
        <w:fldChar w:fldCharType="begin"/>
      </w:r>
      <w:r w:rsidR="00E52611" w:rsidRPr="00E52611">
        <w:instrText xml:space="preserve"> ADDIN BA \xc &lt;@$cs&gt; \xl 8 \s QOQUYW000038 </w:instrText>
      </w:r>
      <w:r w:rsidR="00DF0559" w:rsidRPr="00E52611">
        <w:fldChar w:fldCharType="end"/>
      </w:r>
      <w:r w:rsidR="00D867E1" w:rsidRPr="00E52611">
        <w:rPr>
          <w:i/>
        </w:rPr>
        <w:t>Cummings</w:t>
      </w:r>
      <w:r w:rsidR="003441F3" w:rsidRPr="00E52611">
        <w:t xml:space="preserve">, </w:t>
      </w:r>
      <w:r w:rsidR="00DF0559" w:rsidRPr="00E52611">
        <w:fldChar w:fldCharType="begin"/>
      </w:r>
      <w:r w:rsidR="00E52611" w:rsidRPr="00E52611">
        <w:instrText xml:space="preserve"> ADDIN BA \xc &lt;@$cs&gt; \xl 14 \s QOQUYW000039 \xhfl Rep </w:instrText>
      </w:r>
      <w:r w:rsidR="00DF0559" w:rsidRPr="00E52611">
        <w:fldChar w:fldCharType="end"/>
      </w:r>
      <w:r w:rsidR="003441F3" w:rsidRPr="00E52611">
        <w:t>71 U.S. at 333</w:t>
      </w:r>
      <w:r w:rsidR="00913083" w:rsidRPr="00E52611">
        <w:t xml:space="preserve">. </w:t>
      </w:r>
      <w:r w:rsidR="00E155D8" w:rsidRPr="00E52611">
        <w:t xml:space="preserve">But not all legislative </w:t>
      </w:r>
      <w:r w:rsidR="00CB0E9E" w:rsidRPr="00E52611">
        <w:t>restrictions on</w:t>
      </w:r>
      <w:r w:rsidR="00E155D8" w:rsidRPr="00E52611">
        <w:t xml:space="preserve"> employm</w:t>
      </w:r>
      <w:r w:rsidR="00A5249A" w:rsidRPr="00E52611">
        <w:t xml:space="preserve">ent </w:t>
      </w:r>
      <w:r w:rsidR="0095161A" w:rsidRPr="00E52611">
        <w:t xml:space="preserve">are </w:t>
      </w:r>
      <w:r w:rsidR="00A5249A" w:rsidRPr="00E52611">
        <w:t xml:space="preserve">punishment. Acts </w:t>
      </w:r>
      <w:r w:rsidR="00E155D8" w:rsidRPr="00E52611">
        <w:t>that (a) set forth professional qualifications for employment; or (b) establish technical requirements for employment</w:t>
      </w:r>
      <w:r w:rsidR="00A5249A" w:rsidRPr="00E52611">
        <w:t xml:space="preserve"> do not amount to punishment. </w:t>
      </w:r>
    </w:p>
    <w:p w:rsidR="00544697" w:rsidRPr="00E52611" w:rsidRDefault="00E229C9" w:rsidP="008301B5">
      <w:pPr>
        <w:pStyle w:val="ListParagraph"/>
        <w:spacing w:line="480" w:lineRule="auto"/>
        <w:ind w:left="0" w:firstLine="720"/>
      </w:pPr>
      <w:r w:rsidRPr="00E52611">
        <w:t xml:space="preserve">Four </w:t>
      </w:r>
      <w:r w:rsidR="00C3492C" w:rsidRPr="00E52611">
        <w:t>of the five</w:t>
      </w:r>
      <w:r w:rsidR="007072B8" w:rsidRPr="00E52611">
        <w:t xml:space="preserve"> of the cases where the Supreme Court struck down laws as bills of attainder invol</w:t>
      </w:r>
      <w:r w:rsidR="001E14E6" w:rsidRPr="00E52611">
        <w:t>ved restrictions on employment.</w:t>
      </w:r>
      <w:r w:rsidR="00724117" w:rsidRPr="00E52611">
        <w:rPr>
          <w:rStyle w:val="FootnoteReference"/>
        </w:rPr>
        <w:footnoteReference w:id="7"/>
      </w:r>
      <w:r w:rsidR="005B301F" w:rsidRPr="00E52611">
        <w:t xml:space="preserve"> </w:t>
      </w:r>
      <w:r w:rsidR="007B2542" w:rsidRPr="00E52611">
        <w:t>C</w:t>
      </w:r>
      <w:r w:rsidR="00D10063" w:rsidRPr="00E52611">
        <w:t xml:space="preserve">ircuit courts have similarly struck down legislation </w:t>
      </w:r>
      <w:r w:rsidR="007B2542" w:rsidRPr="00E52611">
        <w:t>barring</w:t>
      </w:r>
      <w:r w:rsidR="00D10063" w:rsidRPr="00E52611">
        <w:t xml:space="preserve"> persons from employment </w:t>
      </w:r>
      <w:r w:rsidR="007B2542" w:rsidRPr="00E52611">
        <w:t>due to</w:t>
      </w:r>
      <w:r w:rsidR="00D10063" w:rsidRPr="00E52611">
        <w:t xml:space="preserve"> congressional disapproval of their previous behavior. For example, i</w:t>
      </w:r>
      <w:r w:rsidR="00A97166" w:rsidRPr="00E52611">
        <w:t xml:space="preserve">n </w:t>
      </w:r>
      <w:r w:rsidR="00DF0559" w:rsidRPr="00E52611">
        <w:fldChar w:fldCharType="begin"/>
      </w:r>
      <w:r w:rsidR="00E52611" w:rsidRPr="00E52611">
        <w:instrText xml:space="preserve"> ADDIN BA \xc &lt;@cs&gt; \xl 53 \s QOQUYW000044 \xhfl Rep \l "</w:instrText>
      </w:r>
      <w:r w:rsidR="00E52611" w:rsidRPr="00E52611">
        <w:rPr>
          <w:i/>
        </w:rPr>
        <w:instrText>Dehainaut v. Pena</w:instrText>
      </w:r>
      <w:r w:rsidR="00E52611" w:rsidRPr="00E52611">
        <w:instrText xml:space="preserve">,&lt;SoftRt&gt; 32 F.3d 1066 (7th Cir. 1994)" </w:instrText>
      </w:r>
      <w:r w:rsidR="00DF0559" w:rsidRPr="00E52611">
        <w:fldChar w:fldCharType="end"/>
      </w:r>
      <w:bookmarkStart w:id="99" w:name="_BA_Cite_211"/>
      <w:r w:rsidR="00A97166" w:rsidRPr="00E52611">
        <w:rPr>
          <w:i/>
        </w:rPr>
        <w:t>Dehainaut</w:t>
      </w:r>
      <w:r w:rsidR="004B7D76" w:rsidRPr="00E52611">
        <w:rPr>
          <w:i/>
        </w:rPr>
        <w:t xml:space="preserve"> v. Pena</w:t>
      </w:r>
      <w:r w:rsidR="00643D1B" w:rsidRPr="00E52611">
        <w:t xml:space="preserve">, </w:t>
      </w:r>
      <w:r w:rsidR="004B7D76" w:rsidRPr="00E52611">
        <w:t>32 F.3d 1066, 1070 (7th Cir. 1994)</w:t>
      </w:r>
      <w:bookmarkEnd w:id="99"/>
      <w:r w:rsidR="004B7D76" w:rsidRPr="00E52611">
        <w:t xml:space="preserve">, </w:t>
      </w:r>
      <w:r w:rsidR="00643D1B" w:rsidRPr="00E52611">
        <w:t>the Seventh C</w:t>
      </w:r>
      <w:r w:rsidR="00A97166" w:rsidRPr="00E52611">
        <w:t xml:space="preserve">ircuit held that an administrative rule </w:t>
      </w:r>
      <w:r w:rsidR="002D0DE8" w:rsidRPr="00E52611">
        <w:t xml:space="preserve">indefinitely </w:t>
      </w:r>
      <w:r w:rsidR="00B208CE" w:rsidRPr="00E52611">
        <w:t>denying</w:t>
      </w:r>
      <w:r w:rsidR="00A97166" w:rsidRPr="00E52611">
        <w:t xml:space="preserve"> certain </w:t>
      </w:r>
      <w:r w:rsidR="002D0DE8" w:rsidRPr="00E52611">
        <w:t>persons</w:t>
      </w:r>
      <w:r w:rsidR="00A97166" w:rsidRPr="00E52611">
        <w:t xml:space="preserve"> who</w:t>
      </w:r>
      <w:r w:rsidR="00471FE5" w:rsidRPr="00E52611">
        <w:t xml:space="preserve"> had</w:t>
      </w:r>
      <w:r w:rsidR="00A97166" w:rsidRPr="00E52611">
        <w:t xml:space="preserve"> </w:t>
      </w:r>
      <w:r w:rsidR="00AB0087" w:rsidRPr="00E52611">
        <w:t>picketed</w:t>
      </w:r>
      <w:r w:rsidR="00A97166" w:rsidRPr="00E52611">
        <w:t xml:space="preserve"> against the government from FAA </w:t>
      </w:r>
      <w:r w:rsidR="00471FE5" w:rsidRPr="00E52611">
        <w:t>employment was</w:t>
      </w:r>
      <w:r w:rsidR="00B208CE" w:rsidRPr="00E52611">
        <w:t xml:space="preserve"> </w:t>
      </w:r>
      <w:r w:rsidR="00A97166" w:rsidRPr="00E52611">
        <w:t>punishment</w:t>
      </w:r>
      <w:r w:rsidR="00B208CE" w:rsidRPr="00E52611">
        <w:t xml:space="preserve"> under the historical test</w:t>
      </w:r>
      <w:r w:rsidR="00A97166" w:rsidRPr="00E52611">
        <w:t xml:space="preserve">. </w:t>
      </w:r>
    </w:p>
    <w:p w:rsidR="00D867E1" w:rsidRPr="00E52611" w:rsidRDefault="0032352E" w:rsidP="005E2A2A">
      <w:pPr>
        <w:spacing w:line="480" w:lineRule="auto"/>
      </w:pPr>
      <w:r w:rsidRPr="00E52611">
        <w:tab/>
      </w:r>
      <w:r w:rsidR="00DA116F" w:rsidRPr="00E52611">
        <w:t xml:space="preserve">Conversely, when a statute’s effect is to make certain </w:t>
      </w:r>
      <w:r w:rsidR="002C2353" w:rsidRPr="00E52611">
        <w:t xml:space="preserve">persons or entities </w:t>
      </w:r>
      <w:r w:rsidR="00DA116F" w:rsidRPr="00E52611">
        <w:t xml:space="preserve">ineligible for a position merely because they are not qualified for the job, this does not constitute punishment. </w:t>
      </w:r>
      <w:r w:rsidR="005D19F8" w:rsidRPr="00E52611">
        <w:t xml:space="preserve">For example, in </w:t>
      </w:r>
      <w:r w:rsidR="00DF0559" w:rsidRPr="00E52611">
        <w:fldChar w:fldCharType="begin"/>
      </w:r>
      <w:r w:rsidR="00E52611" w:rsidRPr="00E52611">
        <w:instrText xml:space="preserve"> ADDIN BA \xc &lt;@cs&gt; \xl 47 \s QOQUYW000045 \xhfl Rep \l "</w:instrText>
      </w:r>
      <w:r w:rsidR="00E52611" w:rsidRPr="00E52611">
        <w:rPr>
          <w:i/>
        </w:rPr>
        <w:instrText>Dent v. West Virginia</w:instrText>
      </w:r>
      <w:r w:rsidR="00E52611" w:rsidRPr="00E52611">
        <w:instrText xml:space="preserve">,&lt;SoftRt&gt; 129 U.S. 114 (1889)" </w:instrText>
      </w:r>
      <w:r w:rsidR="00DF0559" w:rsidRPr="00E52611">
        <w:fldChar w:fldCharType="end"/>
      </w:r>
      <w:bookmarkStart w:id="100" w:name="_BA_Cite_212"/>
      <w:r w:rsidR="005D19F8" w:rsidRPr="00E52611">
        <w:rPr>
          <w:i/>
        </w:rPr>
        <w:t>Dent</w:t>
      </w:r>
      <w:r w:rsidR="002A78E3" w:rsidRPr="00E52611">
        <w:rPr>
          <w:i/>
        </w:rPr>
        <w:t xml:space="preserve"> v. West </w:t>
      </w:r>
      <w:r w:rsidR="002A78E3" w:rsidRPr="00E52611">
        <w:rPr>
          <w:i/>
        </w:rPr>
        <w:lastRenderedPageBreak/>
        <w:t>Virginia</w:t>
      </w:r>
      <w:r w:rsidR="005D19F8" w:rsidRPr="00E52611">
        <w:t xml:space="preserve">, </w:t>
      </w:r>
      <w:r w:rsidR="002A78E3" w:rsidRPr="00E52611">
        <w:t>129 U.S. 114, 128 (1889)</w:t>
      </w:r>
      <w:bookmarkEnd w:id="100"/>
      <w:r w:rsidR="00E31951" w:rsidRPr="00E52611">
        <w:t>,</w:t>
      </w:r>
      <w:r w:rsidR="002A78E3" w:rsidRPr="00E52611">
        <w:t xml:space="preserve"> </w:t>
      </w:r>
      <w:r w:rsidR="005D19F8" w:rsidRPr="00E52611">
        <w:t>the Court held that a state law requiring doctors to obtain certain educational qualifications was not a b</w:t>
      </w:r>
      <w:r w:rsidR="00CE0EF3" w:rsidRPr="00E52611">
        <w:t xml:space="preserve">ill of attainder. </w:t>
      </w:r>
      <w:r w:rsidR="003F4299" w:rsidRPr="00E52611">
        <w:t xml:space="preserve">Similarly, in </w:t>
      </w:r>
      <w:r w:rsidR="00DF0559" w:rsidRPr="00E52611">
        <w:fldChar w:fldCharType="begin"/>
      </w:r>
      <w:r w:rsidR="00E52611" w:rsidRPr="00E52611">
        <w:instrText xml:space="preserve"> ADDIN BA \xc &lt;@cs&gt; \xl 50 \s QOQUYW000046 \xhfl Rep \l "</w:instrText>
      </w:r>
      <w:r w:rsidR="00E52611" w:rsidRPr="00E52611">
        <w:rPr>
          <w:i/>
        </w:rPr>
        <w:instrText>Hawker v. People of N.Y.</w:instrText>
      </w:r>
      <w:r w:rsidR="00E52611" w:rsidRPr="00E52611">
        <w:instrText xml:space="preserve">,&lt;SoftRt&gt; 170 U.S. 189 (1898)" </w:instrText>
      </w:r>
      <w:r w:rsidR="00DF0559" w:rsidRPr="00E52611">
        <w:fldChar w:fldCharType="end"/>
      </w:r>
      <w:bookmarkStart w:id="101" w:name="_BA_Cite_213"/>
      <w:r w:rsidR="003F4299" w:rsidRPr="00E52611">
        <w:rPr>
          <w:i/>
        </w:rPr>
        <w:t>Hawker</w:t>
      </w:r>
      <w:r w:rsidR="00C2280B" w:rsidRPr="00E52611">
        <w:rPr>
          <w:i/>
        </w:rPr>
        <w:t xml:space="preserve"> v. People of N.Y.</w:t>
      </w:r>
      <w:r w:rsidR="00CE0EF3" w:rsidRPr="00E52611">
        <w:t xml:space="preserve">, </w:t>
      </w:r>
      <w:r w:rsidR="00C2280B" w:rsidRPr="00E52611">
        <w:t>170 U.S. 189, 205 (1898)</w:t>
      </w:r>
      <w:bookmarkEnd w:id="101"/>
      <w:r w:rsidR="00C2280B" w:rsidRPr="00E52611">
        <w:t xml:space="preserve">, </w:t>
      </w:r>
      <w:r w:rsidR="003F4299" w:rsidRPr="00E52611">
        <w:t xml:space="preserve">the Court </w:t>
      </w:r>
      <w:r w:rsidR="003730A6" w:rsidRPr="00E52611">
        <w:t>determined that</w:t>
      </w:r>
      <w:r w:rsidR="003F4299" w:rsidRPr="00E52611">
        <w:t xml:space="preserve"> a state law banning felons from practicing medicine </w:t>
      </w:r>
      <w:r w:rsidR="001C4313" w:rsidRPr="00E52611">
        <w:t>w</w:t>
      </w:r>
      <w:r w:rsidR="00093414" w:rsidRPr="00E52611">
        <w:t>as a mere</w:t>
      </w:r>
      <w:r w:rsidR="0048786C" w:rsidRPr="00E52611">
        <w:t xml:space="preserve"> job qualification </w:t>
      </w:r>
      <w:r w:rsidR="00E92D38" w:rsidRPr="00E52611">
        <w:t>and not</w:t>
      </w:r>
      <w:r w:rsidR="003F4299" w:rsidRPr="00E52611">
        <w:t xml:space="preserve"> punishment. </w:t>
      </w:r>
      <w:r w:rsidR="00C2280B" w:rsidRPr="00E52611">
        <w:rPr>
          <w:i/>
        </w:rPr>
        <w:t>S</w:t>
      </w:r>
      <w:r w:rsidR="003F4299" w:rsidRPr="00E52611">
        <w:rPr>
          <w:i/>
        </w:rPr>
        <w:t xml:space="preserve">ee also </w:t>
      </w:r>
      <w:r w:rsidR="00DF0559" w:rsidRPr="00E52611">
        <w:fldChar w:fldCharType="begin"/>
      </w:r>
      <w:r w:rsidR="00E52611" w:rsidRPr="00E52611">
        <w:instrText xml:space="preserve"> ADDIN BA \xc &lt;@cs&gt; \xl 160 \s QOQUYW000047 \xhfl Rep \l "</w:instrText>
      </w:r>
      <w:r w:rsidR="00E52611" w:rsidRPr="00E52611">
        <w:rPr>
          <w:i/>
        </w:rPr>
        <w:instrText>DeVeau v. Braisted</w:instrText>
      </w:r>
      <w:r w:rsidR="00E52611" w:rsidRPr="00E52611">
        <w:instrText xml:space="preserve">,&lt;SoftRt&gt; 363 U.S. 144 (1960) (New York statute disqualifying convicted felons from office in a waterfront labor organization was not punishment)" </w:instrText>
      </w:r>
      <w:r w:rsidR="00DF0559" w:rsidRPr="00E52611">
        <w:fldChar w:fldCharType="end"/>
      </w:r>
      <w:bookmarkStart w:id="102" w:name="_BA_Cite_214"/>
      <w:r w:rsidR="007D3E3F" w:rsidRPr="00E52611">
        <w:rPr>
          <w:i/>
        </w:rPr>
        <w:t>DeVeau v. Braisted</w:t>
      </w:r>
      <w:r w:rsidR="007D3E3F" w:rsidRPr="00E52611">
        <w:t xml:space="preserve">, 363 U.S. </w:t>
      </w:r>
      <w:r w:rsidR="00790F32" w:rsidRPr="00E52611">
        <w:t>144, 160 (1960) (</w:t>
      </w:r>
      <w:r w:rsidR="007D3E3F" w:rsidRPr="00E52611">
        <w:t xml:space="preserve">New York statute disqualifying convicted felons from office in a waterfront labor </w:t>
      </w:r>
      <w:r w:rsidR="00790F32" w:rsidRPr="00E52611">
        <w:t>organization was not punishment)</w:t>
      </w:r>
      <w:bookmarkEnd w:id="102"/>
      <w:r w:rsidR="00790F32" w:rsidRPr="00E52611">
        <w:t xml:space="preserve">. </w:t>
      </w:r>
    </w:p>
    <w:p w:rsidR="00243A3A" w:rsidRPr="00E52611" w:rsidRDefault="00EB42C1" w:rsidP="005E2A2A">
      <w:pPr>
        <w:spacing w:line="480" w:lineRule="auto"/>
        <w:rPr>
          <w:rFonts w:eastAsia="Times New Roman"/>
        </w:rPr>
      </w:pPr>
      <w:r w:rsidRPr="00E52611">
        <w:tab/>
      </w:r>
      <w:r w:rsidR="005D19E2" w:rsidRPr="00E52611">
        <w:t xml:space="preserve">A statute does not amount to punishment when it merely sets forth </w:t>
      </w:r>
      <w:r w:rsidRPr="00E52611">
        <w:t xml:space="preserve">certain </w:t>
      </w:r>
      <w:r w:rsidR="00A61379" w:rsidRPr="00E52611">
        <w:t xml:space="preserve">technical </w:t>
      </w:r>
      <w:r w:rsidR="00347A51" w:rsidRPr="00E52611">
        <w:t>requiremen</w:t>
      </w:r>
      <w:r w:rsidR="001A6DA9" w:rsidRPr="00E52611">
        <w:t>ts for participating in a trade</w:t>
      </w:r>
      <w:r w:rsidR="00347A51" w:rsidRPr="00E52611">
        <w:t xml:space="preserve">. </w:t>
      </w:r>
      <w:r w:rsidR="00980EB6" w:rsidRPr="00E52611">
        <w:t xml:space="preserve">In </w:t>
      </w:r>
      <w:r w:rsidR="00DF0559" w:rsidRPr="00E52611">
        <w:fldChar w:fldCharType="begin"/>
      </w:r>
      <w:r w:rsidR="00E52611" w:rsidRPr="00E52611">
        <w:instrText xml:space="preserve"> ADDIN BA \xc &lt;@$cs&gt; \xl 3 \s QOQUYW000023 </w:instrText>
      </w:r>
      <w:r w:rsidR="00DF0559" w:rsidRPr="00E52611">
        <w:fldChar w:fldCharType="end"/>
      </w:r>
      <w:r w:rsidR="00980EB6" w:rsidRPr="00E52611">
        <w:rPr>
          <w:i/>
        </w:rPr>
        <w:t>SBC</w:t>
      </w:r>
      <w:r w:rsidR="00980EB6" w:rsidRPr="00E52611">
        <w:t>, plaintiff telecom</w:t>
      </w:r>
      <w:r w:rsidR="00304BEC" w:rsidRPr="00E52611">
        <w:t>munication company challenged</w:t>
      </w:r>
      <w:r w:rsidR="00980EB6" w:rsidRPr="00E52611">
        <w:t xml:space="preserve"> anti-competition provision</w:t>
      </w:r>
      <w:r w:rsidR="00304BEC" w:rsidRPr="00E52611">
        <w:t xml:space="preserve">s </w:t>
      </w:r>
      <w:r w:rsidR="00980EB6" w:rsidRPr="00E52611">
        <w:t xml:space="preserve">of the 1996 </w:t>
      </w:r>
      <w:r w:rsidR="00440010" w:rsidRPr="00E52611">
        <w:t xml:space="preserve">Telecommunications </w:t>
      </w:r>
      <w:r w:rsidR="00980EB6" w:rsidRPr="00E52611">
        <w:t xml:space="preserve">Act that limited its ability to enter the long-distance market. </w:t>
      </w:r>
      <w:r w:rsidR="00DF0559" w:rsidRPr="00E52611">
        <w:fldChar w:fldCharType="begin"/>
      </w:r>
      <w:r w:rsidR="00E52611" w:rsidRPr="00E52611">
        <w:instrText xml:space="preserve"> ADDIN BA \xc &lt;@$cs&gt; \xl 15 \s QOQUYW000023 \xhfl Rep </w:instrText>
      </w:r>
      <w:r w:rsidR="00DF0559" w:rsidRPr="00E52611">
        <w:fldChar w:fldCharType="end"/>
      </w:r>
      <w:r w:rsidR="00980EB6" w:rsidRPr="00E52611">
        <w:t>154 F.3d at 233.</w:t>
      </w:r>
      <w:r w:rsidR="00033F9C" w:rsidRPr="00E52611">
        <w:t xml:space="preserve"> T</w:t>
      </w:r>
      <w:r w:rsidR="00304BEC" w:rsidRPr="00E52611">
        <w:t>he court noted that the a</w:t>
      </w:r>
      <w:r w:rsidR="00980EB6" w:rsidRPr="00E52611">
        <w:t xml:space="preserve">ct merely </w:t>
      </w:r>
      <w:r w:rsidR="00FE5A5C" w:rsidRPr="00E52611">
        <w:t xml:space="preserve">established a burden </w:t>
      </w:r>
      <w:r w:rsidR="00980EB6" w:rsidRPr="00E52611">
        <w:t xml:space="preserve">on SBC’s participation in its desired markets, which weighed against a finding of attainder. </w:t>
      </w:r>
      <w:r w:rsidR="00DF0559" w:rsidRPr="00E52611">
        <w:fldChar w:fldCharType="begin"/>
      </w:r>
      <w:r w:rsidR="00E52611" w:rsidRPr="00E52611">
        <w:instrText xml:space="preserve"> ADDIN BA \xc &lt;@$id&gt; \xl 10 \s ID \xhfl Rep </w:instrText>
      </w:r>
      <w:r w:rsidR="00DF0559" w:rsidRPr="00E52611">
        <w:fldChar w:fldCharType="end"/>
      </w:r>
      <w:r w:rsidR="00980EB6" w:rsidRPr="00E52611">
        <w:rPr>
          <w:i/>
        </w:rPr>
        <w:t xml:space="preserve">Id. </w:t>
      </w:r>
      <w:r w:rsidR="00980EB6" w:rsidRPr="00E52611">
        <w:t>at 243.</w:t>
      </w:r>
      <w:r w:rsidR="00AB7302" w:rsidRPr="00E52611">
        <w:t xml:space="preserve"> </w:t>
      </w:r>
      <w:r w:rsidR="002D10C9" w:rsidRPr="00E52611">
        <w:rPr>
          <w:rFonts w:eastAsia="Times New Roman"/>
        </w:rPr>
        <w:t xml:space="preserve"> </w:t>
      </w:r>
    </w:p>
    <w:p w:rsidR="00E1503C" w:rsidRPr="00E52611" w:rsidRDefault="00326A9D" w:rsidP="005E2A2A">
      <w:pPr>
        <w:pStyle w:val="ListParagraph"/>
        <w:spacing w:line="480" w:lineRule="auto"/>
        <w:ind w:left="0" w:firstLine="720"/>
      </w:pPr>
      <w:r w:rsidRPr="00E52611">
        <w:t xml:space="preserve">Unlike the statutes in </w:t>
      </w:r>
      <w:r w:rsidR="00DF0559" w:rsidRPr="00E52611">
        <w:fldChar w:fldCharType="begin"/>
      </w:r>
      <w:r w:rsidR="00E52611" w:rsidRPr="00E52611">
        <w:instrText xml:space="preserve"> ADDIN BA \xc &lt;@$cs&gt; \xl 6 \s QOQUYW000046 </w:instrText>
      </w:r>
      <w:r w:rsidR="00DF0559" w:rsidRPr="00E52611">
        <w:fldChar w:fldCharType="end"/>
      </w:r>
      <w:r w:rsidRPr="00E52611">
        <w:rPr>
          <w:i/>
        </w:rPr>
        <w:t>Hawker</w:t>
      </w:r>
      <w:r w:rsidR="008D603F" w:rsidRPr="00E52611">
        <w:t xml:space="preserve"> and</w:t>
      </w:r>
      <w:r w:rsidRPr="00E52611">
        <w:t xml:space="preserve"> </w:t>
      </w:r>
      <w:r w:rsidR="00DF0559" w:rsidRPr="00E52611">
        <w:fldChar w:fldCharType="begin"/>
      </w:r>
      <w:r w:rsidR="00E52611" w:rsidRPr="00E52611">
        <w:instrText xml:space="preserve"> ADDIN BA \xc &lt;@$cs&gt; \xl 3 \s QOQUYW000023 </w:instrText>
      </w:r>
      <w:r w:rsidR="00DF0559" w:rsidRPr="00E52611">
        <w:fldChar w:fldCharType="end"/>
      </w:r>
      <w:r w:rsidRPr="00E52611">
        <w:rPr>
          <w:i/>
        </w:rPr>
        <w:t>SBC</w:t>
      </w:r>
      <w:r w:rsidRPr="00E52611">
        <w:t xml:space="preserve">, the appropriations laws here neither set forth job qualifications nor technical requirements for employment. </w:t>
      </w:r>
      <w:r w:rsidR="00757073" w:rsidRPr="00E52611">
        <w:rPr>
          <w:i/>
        </w:rPr>
        <w:t>See</w:t>
      </w:r>
      <w:r w:rsidRPr="00E52611">
        <w:rPr>
          <w:i/>
        </w:rPr>
        <w:t xml:space="preserve"> </w:t>
      </w:r>
      <w:r w:rsidR="00DF0559" w:rsidRPr="00E52611">
        <w:fldChar w:fldCharType="begin"/>
      </w:r>
      <w:r w:rsidR="00E52611" w:rsidRPr="00E52611">
        <w:instrText xml:space="preserve"> ADDIN BA \xc &lt;@$cs&gt; \xl 23 \s QOQUYW000046 \xhfl Rep </w:instrText>
      </w:r>
      <w:r w:rsidR="00DF0559" w:rsidRPr="00E52611">
        <w:fldChar w:fldCharType="end"/>
      </w:r>
      <w:r w:rsidRPr="00E52611">
        <w:rPr>
          <w:i/>
        </w:rPr>
        <w:t>Hawker</w:t>
      </w:r>
      <w:r w:rsidRPr="00E52611">
        <w:t xml:space="preserve">, 170 U.S. at 205; </w:t>
      </w:r>
      <w:r w:rsidR="00DF0559" w:rsidRPr="00E52611">
        <w:fldChar w:fldCharType="begin"/>
      </w:r>
      <w:r w:rsidR="00E52611" w:rsidRPr="00E52611">
        <w:instrText xml:space="preserve"> ADDIN BA \xc &lt;@$cs&gt; \xl 20 \s QOQUYW000023 \xhfl Rep </w:instrText>
      </w:r>
      <w:r w:rsidR="00DF0559" w:rsidRPr="00E52611">
        <w:fldChar w:fldCharType="end"/>
      </w:r>
      <w:r w:rsidRPr="00E52611">
        <w:rPr>
          <w:i/>
        </w:rPr>
        <w:t>SBC</w:t>
      </w:r>
      <w:r w:rsidRPr="00E52611">
        <w:t xml:space="preserve">, 154 F.3d at 233. </w:t>
      </w:r>
      <w:r w:rsidR="008D603F" w:rsidRPr="00E52611">
        <w:t xml:space="preserve">Rather, </w:t>
      </w:r>
      <w:r w:rsidR="004B634A" w:rsidRPr="00E52611">
        <w:t xml:space="preserve">in </w:t>
      </w:r>
      <w:r w:rsidR="00167CFF" w:rsidRPr="00E52611">
        <w:t xml:space="preserve">denying ACORN federal funding for fiscal year 2010, Congress effectively prevented ACORN from employment </w:t>
      </w:r>
      <w:r w:rsidR="00DC2C3D" w:rsidRPr="00E52611">
        <w:t xml:space="preserve">in </w:t>
      </w:r>
      <w:r w:rsidR="001A6DA9" w:rsidRPr="00E52611">
        <w:t>a key area of its business–</w:t>
      </w:r>
      <w:r w:rsidR="00A93DCE" w:rsidRPr="00E52611">
        <w:t>its housing-related efforts.</w:t>
      </w:r>
      <w:r w:rsidR="00F3206E" w:rsidRPr="00E52611">
        <w:rPr>
          <w:rStyle w:val="FootnoteReference"/>
        </w:rPr>
        <w:footnoteReference w:id="8"/>
      </w:r>
    </w:p>
    <w:p w:rsidR="009A01F4" w:rsidRPr="00E52611" w:rsidRDefault="009A01F4" w:rsidP="005E2A2A">
      <w:pPr>
        <w:pStyle w:val="ListParagraph"/>
        <w:spacing w:line="480" w:lineRule="auto"/>
        <w:ind w:left="0" w:firstLine="720"/>
      </w:pPr>
      <w:r w:rsidRPr="00E52611">
        <w:lastRenderedPageBreak/>
        <w:t xml:space="preserve">The vast majority of federal funds </w:t>
      </w:r>
      <w:r w:rsidR="002254AE" w:rsidRPr="00E52611">
        <w:t>granted to ACORN ca</w:t>
      </w:r>
      <w:r w:rsidRPr="00E52611">
        <w:t>me in the form of grants for housing-related projects. GAO Report at 6.</w:t>
      </w:r>
      <w:r w:rsidRPr="00E52611">
        <w:rPr>
          <w:rStyle w:val="FootnoteReference"/>
        </w:rPr>
        <w:footnoteReference w:id="9"/>
      </w:r>
      <w:r w:rsidRPr="00E52611">
        <w:t xml:space="preserve"> A</w:t>
      </w:r>
      <w:r w:rsidR="002F5A38" w:rsidRPr="00E52611">
        <w:t>ccording to data in the</w:t>
      </w:r>
      <w:r w:rsidRPr="00E52611">
        <w:t xml:space="preserve"> </w:t>
      </w:r>
      <w:r w:rsidR="002F5A38" w:rsidRPr="00E52611">
        <w:t>GAO</w:t>
      </w:r>
      <w:r w:rsidRPr="00E52611">
        <w:t xml:space="preserve"> report</w:t>
      </w:r>
      <w:r w:rsidR="002F5A38" w:rsidRPr="00E52611">
        <w:t>, an</w:t>
      </w:r>
      <w:r w:rsidRPr="00E52611">
        <w:t xml:space="preserve"> estimated 96% of the government funding provided to </w:t>
      </w:r>
      <w:r w:rsidR="0092669C" w:rsidRPr="00E52611">
        <w:t xml:space="preserve">ACORN between fiscal years 2005 and </w:t>
      </w:r>
      <w:r w:rsidRPr="00E52611">
        <w:t xml:space="preserve">2009 contributed to ACORN’s housing-related efforts. </w:t>
      </w:r>
      <w:r w:rsidR="00C21191" w:rsidRPr="00E52611">
        <w:rPr>
          <w:i/>
        </w:rPr>
        <w:t xml:space="preserve">See </w:t>
      </w:r>
      <w:r w:rsidR="00DF0559" w:rsidRPr="00E52611">
        <w:fldChar w:fldCharType="begin"/>
      </w:r>
      <w:r w:rsidR="00E52611" w:rsidRPr="00E52611">
        <w:instrText xml:space="preserve"> ADDIN BA \xc &lt;@$id&gt; \xl 11 \s ID \xhfl Rep </w:instrText>
      </w:r>
      <w:r w:rsidR="00DF0559" w:rsidRPr="00E52611">
        <w:fldChar w:fldCharType="end"/>
      </w:r>
      <w:r w:rsidR="00C21191" w:rsidRPr="00E52611">
        <w:rPr>
          <w:i/>
        </w:rPr>
        <w:t>i</w:t>
      </w:r>
      <w:r w:rsidRPr="00E52611">
        <w:rPr>
          <w:i/>
        </w:rPr>
        <w:t xml:space="preserve">d. </w:t>
      </w:r>
      <w:r w:rsidR="001A6DA9" w:rsidRPr="00E52611">
        <w:t>at 8-13</w:t>
      </w:r>
      <w:r w:rsidRPr="00E52611">
        <w:t xml:space="preserve">. These efforts included </w:t>
      </w:r>
      <w:r w:rsidR="00D50002" w:rsidRPr="00E52611">
        <w:t xml:space="preserve">providing </w:t>
      </w:r>
      <w:r w:rsidRPr="00E52611">
        <w:t xml:space="preserve">housing counseling to low-income buyers; promoting economic independence for low-income tenants; assisting victims of housing discrimination with legal advice; and </w:t>
      </w:r>
      <w:r w:rsidR="004B634A" w:rsidRPr="00E52611">
        <w:t>providing</w:t>
      </w:r>
      <w:r w:rsidRPr="00E52611">
        <w:t xml:space="preserve"> counseling to those facing foreclosure. </w:t>
      </w:r>
      <w:r w:rsidR="00DF0559" w:rsidRPr="00E52611">
        <w:fldChar w:fldCharType="begin"/>
      </w:r>
      <w:r w:rsidR="00E52611" w:rsidRPr="00E52611">
        <w:instrText xml:space="preserve"> ADDIN BA \xc &lt;@$id&gt; \xl 8 \s ID \xhfl Rep </w:instrText>
      </w:r>
      <w:r w:rsidR="00DF0559" w:rsidRPr="00E52611">
        <w:fldChar w:fldCharType="end"/>
      </w:r>
      <w:r w:rsidRPr="00E52611">
        <w:rPr>
          <w:i/>
        </w:rPr>
        <w:t xml:space="preserve">Id. </w:t>
      </w:r>
      <w:r w:rsidR="0037663E" w:rsidRPr="00E52611">
        <w:t xml:space="preserve">at 9. </w:t>
      </w:r>
    </w:p>
    <w:p w:rsidR="002C6FF1" w:rsidRPr="00EA00CB" w:rsidRDefault="00D76794" w:rsidP="00EA00CB">
      <w:pPr>
        <w:pStyle w:val="ListParagraph"/>
        <w:spacing w:line="480" w:lineRule="auto"/>
        <w:ind w:left="0" w:firstLine="720"/>
        <w:rPr>
          <w:i/>
        </w:rPr>
      </w:pPr>
      <w:r w:rsidRPr="00E52611">
        <w:t>Providing housing counseling, services</w:t>
      </w:r>
      <w:r w:rsidR="00BD5EEA" w:rsidRPr="00E52611">
        <w:t>, and advocacy to</w:t>
      </w:r>
      <w:r w:rsidRPr="00E52611">
        <w:t xml:space="preserve"> America’s low income</w:t>
      </w:r>
      <w:r w:rsidR="004150F0" w:rsidRPr="00E52611">
        <w:t xml:space="preserve"> population</w:t>
      </w:r>
      <w:r w:rsidR="0038673B" w:rsidRPr="00E52611">
        <w:t xml:space="preserve"> is </w:t>
      </w:r>
      <w:r w:rsidR="004150F0" w:rsidRPr="00E52611">
        <w:t xml:space="preserve">one </w:t>
      </w:r>
      <w:r w:rsidR="00761D09" w:rsidRPr="00E52611">
        <w:t xml:space="preserve">of ACORN’s primary activities. </w:t>
      </w:r>
      <w:r w:rsidR="00692D4B" w:rsidRPr="00E52611">
        <w:t>ACORN Housing Corporation (</w:t>
      </w:r>
      <w:r w:rsidR="002C6FF1" w:rsidRPr="00E52611">
        <w:t>AHC</w:t>
      </w:r>
      <w:r w:rsidR="00692D4B" w:rsidRPr="00E52611">
        <w:t>)</w:t>
      </w:r>
      <w:r w:rsidR="002C6FF1" w:rsidRPr="00E52611">
        <w:t xml:space="preserve"> </w:t>
      </w:r>
      <w:r w:rsidR="002F5A38" w:rsidRPr="00E52611">
        <w:t>“</w:t>
      </w:r>
      <w:r w:rsidR="002C6FF1" w:rsidRPr="00E52611">
        <w:t>has been involved in providing housing counseling services to prospective homebuyers and troubled homeowners.</w:t>
      </w:r>
      <w:r w:rsidR="002F5A38" w:rsidRPr="00E52611">
        <w:t xml:space="preserve">” </w:t>
      </w:r>
      <w:r w:rsidR="00DF0559" w:rsidRPr="00E52611">
        <w:fldChar w:fldCharType="begin"/>
      </w:r>
      <w:r w:rsidR="00E52611" w:rsidRPr="00E52611">
        <w:instrText xml:space="preserve"> ADDIN BA \xc &lt;@$reg&gt; \xl 25 \s QOQUYW000001 </w:instrText>
      </w:r>
      <w:r w:rsidR="00DF0559" w:rsidRPr="00E52611">
        <w:fldChar w:fldCharType="end"/>
      </w:r>
      <w:bookmarkStart w:id="106" w:name="_BA_Cite_218"/>
      <w:r w:rsidR="000137BF" w:rsidRPr="00E52611">
        <w:t>CRS Housing Report at 1-2</w:t>
      </w:r>
      <w:bookmarkEnd w:id="106"/>
      <w:r w:rsidR="000137BF" w:rsidRPr="00E52611">
        <w:t xml:space="preserve">. For example, </w:t>
      </w:r>
      <w:r w:rsidR="00EA00CB">
        <w:t>“</w:t>
      </w:r>
      <w:r w:rsidR="000137BF" w:rsidRPr="00E52611">
        <w:t xml:space="preserve">in </w:t>
      </w:r>
      <w:r w:rsidR="002F5A38" w:rsidRPr="00E52611">
        <w:t>2</w:t>
      </w:r>
      <w:r w:rsidR="002C6FF1" w:rsidRPr="00E52611">
        <w:t xml:space="preserve">006, AHC reported counseling 13,738 first-time homeowners and refinancing 1,474 homeowners </w:t>
      </w:r>
      <w:r w:rsidR="00EA00CB">
        <w:t xml:space="preserve">into more affordable mortgages.” </w:t>
      </w:r>
      <w:r w:rsidR="00EA00CB">
        <w:rPr>
          <w:i/>
        </w:rPr>
        <w:t xml:space="preserve">Id. </w:t>
      </w:r>
    </w:p>
    <w:p w:rsidR="000137BF" w:rsidRPr="00E52611" w:rsidRDefault="000137BF" w:rsidP="000137BF">
      <w:pPr>
        <w:pStyle w:val="ListParagraph"/>
        <w:ind w:left="0" w:firstLine="720"/>
        <w:rPr>
          <w:i/>
        </w:rPr>
      </w:pPr>
    </w:p>
    <w:p w:rsidR="0042346B" w:rsidRPr="001E3238" w:rsidRDefault="00DF0559" w:rsidP="00A6793B">
      <w:pPr>
        <w:pStyle w:val="ListParagraph"/>
        <w:spacing w:line="480" w:lineRule="auto"/>
        <w:ind w:left="0" w:firstLine="720"/>
      </w:pPr>
      <w:r w:rsidRPr="00E52611">
        <w:lastRenderedPageBreak/>
        <w:fldChar w:fldCharType="begin"/>
      </w:r>
      <w:r w:rsidR="00E52611" w:rsidRPr="00E52611">
        <w:instrText xml:space="preserve"> ADDIN BA \xc &lt;@$id&gt; \xl 3 \s ID </w:instrText>
      </w:r>
      <w:r w:rsidRPr="00E52611">
        <w:fldChar w:fldCharType="end"/>
      </w:r>
      <w:r w:rsidR="00E133F3" w:rsidRPr="00E52611">
        <w:t xml:space="preserve">Though not as explicit as the provision in </w:t>
      </w:r>
      <w:r w:rsidRPr="00E52611">
        <w:fldChar w:fldCharType="begin"/>
      </w:r>
      <w:r w:rsidR="00E52611" w:rsidRPr="00E52611">
        <w:instrText xml:space="preserve"> ADDIN BA \xc &lt;@$cs&gt; \xl 9 \s QOQUYW000044 </w:instrText>
      </w:r>
      <w:r w:rsidRPr="00E52611">
        <w:fldChar w:fldCharType="end"/>
      </w:r>
      <w:bookmarkStart w:id="107" w:name="_BA_Cite_220"/>
      <w:r w:rsidR="00E133F3" w:rsidRPr="00E52611">
        <w:rPr>
          <w:i/>
        </w:rPr>
        <w:t>Dehainaut</w:t>
      </w:r>
      <w:bookmarkEnd w:id="107"/>
      <w:r w:rsidR="00E133F3" w:rsidRPr="00E52611">
        <w:t>, b</w:t>
      </w:r>
      <w:r w:rsidR="009A01F4" w:rsidRPr="00E52611">
        <w:t>y depriving ACORN federal funding for its numerous ho</w:t>
      </w:r>
      <w:r w:rsidR="00C87A2B" w:rsidRPr="00E52611">
        <w:t xml:space="preserve">using-related initiatives, the </w:t>
      </w:r>
      <w:r w:rsidR="004150F0" w:rsidRPr="00E52611">
        <w:t>effect</w:t>
      </w:r>
      <w:r w:rsidR="00C87A2B" w:rsidRPr="00E52611">
        <w:t xml:space="preserve"> of the appropriations laws</w:t>
      </w:r>
      <w:r w:rsidR="001E3238">
        <w:t xml:space="preserve"> wa</w:t>
      </w:r>
      <w:r w:rsidR="009A01F4" w:rsidRPr="00E52611">
        <w:t xml:space="preserve">s to </w:t>
      </w:r>
      <w:r w:rsidR="0092669C" w:rsidRPr="00E52611">
        <w:t>disqualify</w:t>
      </w:r>
      <w:r w:rsidR="009A01F4" w:rsidRPr="00E52611">
        <w:t xml:space="preserve"> ACORN from its vocation of providing housing services for the poor. </w:t>
      </w:r>
      <w:r w:rsidR="00E133F3" w:rsidRPr="00E52611">
        <w:rPr>
          <w:i/>
        </w:rPr>
        <w:t xml:space="preserve">See </w:t>
      </w:r>
      <w:r w:rsidRPr="00E52611">
        <w:fldChar w:fldCharType="begin"/>
      </w:r>
      <w:r w:rsidR="00E52611" w:rsidRPr="00E52611">
        <w:instrText xml:space="preserve"> ADDIN BA \xc &lt;@$cs&gt; \xl 15 \s QOQUYW000044 \xhfl Rep </w:instrText>
      </w:r>
      <w:r w:rsidRPr="00E52611">
        <w:fldChar w:fldCharType="end"/>
      </w:r>
      <w:r w:rsidR="00E133F3" w:rsidRPr="00E52611">
        <w:t xml:space="preserve">32 F.3d at 1070. </w:t>
      </w:r>
      <w:r w:rsidR="00EA00CB">
        <w:t xml:space="preserve">The laws took away millions that ACORN had expected to spend on its housing projects. </w:t>
      </w:r>
      <w:r w:rsidR="00EA00CB">
        <w:rPr>
          <w:i/>
        </w:rPr>
        <w:t xml:space="preserve">See </w:t>
      </w:r>
      <w:r w:rsidR="00EA00CB" w:rsidRPr="00E52611">
        <w:t xml:space="preserve">Atlas at 246. </w:t>
      </w:r>
      <w:r w:rsidR="005D3C55" w:rsidRPr="00E52611">
        <w:t>In fact, “because of the budget cutbacks, an ACORN first-time homebuyer class in New York that enrolled one hundred people in September enrolled only seven people in October,” the month a</w:t>
      </w:r>
      <w:r w:rsidR="00A6793B" w:rsidRPr="00E52611">
        <w:t>fter Congress passed the first a</w:t>
      </w:r>
      <w:r w:rsidR="005D3C55" w:rsidRPr="00E52611">
        <w:t>ppr</w:t>
      </w:r>
      <w:r w:rsidR="00A6793B" w:rsidRPr="00E52611">
        <w:t>opriations b</w:t>
      </w:r>
      <w:r w:rsidR="00585470" w:rsidRPr="00E52611">
        <w:t xml:space="preserve">ill. </w:t>
      </w:r>
      <w:r w:rsidR="00EA00CB">
        <w:rPr>
          <w:i/>
        </w:rPr>
        <w:t xml:space="preserve">Id. </w:t>
      </w:r>
    </w:p>
    <w:p w:rsidR="00B42D7C" w:rsidRPr="00E52611" w:rsidRDefault="008A740F" w:rsidP="003F09C9">
      <w:pPr>
        <w:pStyle w:val="Heading4"/>
        <w:tabs>
          <w:tab w:val="left" w:pos="1620"/>
          <w:tab w:val="left" w:pos="2160"/>
        </w:tabs>
        <w:ind w:hanging="720"/>
        <w:rPr>
          <w:i w:val="0"/>
          <w:u w:val="single"/>
        </w:rPr>
      </w:pPr>
      <w:r w:rsidRPr="00E52611">
        <w:rPr>
          <w:i w:val="0"/>
        </w:rPr>
        <w:t>4</w:t>
      </w:r>
      <w:r w:rsidR="00924757" w:rsidRPr="00E52611">
        <w:rPr>
          <w:i w:val="0"/>
        </w:rPr>
        <w:t xml:space="preserve">. </w:t>
      </w:r>
      <w:r w:rsidR="00480012" w:rsidRPr="00E52611">
        <w:rPr>
          <w:i w:val="0"/>
        </w:rPr>
        <w:tab/>
      </w:r>
      <w:r w:rsidR="00A17D2F" w:rsidRPr="00E52611">
        <w:rPr>
          <w:i w:val="0"/>
          <w:u w:val="single"/>
        </w:rPr>
        <w:t xml:space="preserve">Delivery of Punishment through Appropriations Laws </w:t>
      </w:r>
      <w:r w:rsidRPr="00E52611">
        <w:rPr>
          <w:i w:val="0"/>
          <w:u w:val="single"/>
        </w:rPr>
        <w:t>Constitutes</w:t>
      </w:r>
      <w:r w:rsidR="00A17D2F" w:rsidRPr="00E52611">
        <w:rPr>
          <w:i w:val="0"/>
          <w:u w:val="single"/>
        </w:rPr>
        <w:t xml:space="preserve"> Punishment </w:t>
      </w:r>
    </w:p>
    <w:p w:rsidR="003F5BB3" w:rsidRPr="00E52611" w:rsidRDefault="003F5BB3" w:rsidP="003F5BB3"/>
    <w:p w:rsidR="006239A8" w:rsidRPr="00E52611" w:rsidRDefault="00F53637" w:rsidP="002D1B4A">
      <w:pPr>
        <w:spacing w:line="480" w:lineRule="auto"/>
        <w:ind w:firstLine="720"/>
      </w:pPr>
      <w:r w:rsidRPr="00E52611">
        <w:t>Finally, the</w:t>
      </w:r>
      <w:r w:rsidR="00737AF8" w:rsidRPr="00E52611">
        <w:t xml:space="preserve"> fact that</w:t>
      </w:r>
      <w:r w:rsidR="00924757" w:rsidRPr="00E52611">
        <w:t xml:space="preserve"> Congress chose to punish ACORN and its </w:t>
      </w:r>
      <w:r w:rsidR="00C5030F" w:rsidRPr="00E52611">
        <w:t xml:space="preserve">affiliates </w:t>
      </w:r>
      <w:r w:rsidR="00737AF8" w:rsidRPr="00E52611">
        <w:t>through</w:t>
      </w:r>
      <w:r w:rsidR="00C5030F" w:rsidRPr="00E52611">
        <w:t xml:space="preserve"> appropriations laws </w:t>
      </w:r>
      <w:r w:rsidR="00737AF8" w:rsidRPr="00E52611">
        <w:t xml:space="preserve">does not </w:t>
      </w:r>
      <w:r w:rsidR="00DB782F" w:rsidRPr="00E52611">
        <w:t>weigh</w:t>
      </w:r>
      <w:r w:rsidR="00924757" w:rsidRPr="00E52611">
        <w:t xml:space="preserve"> against finding punishment. </w:t>
      </w:r>
      <w:r w:rsidR="00DF0559" w:rsidRPr="00E52611">
        <w:fldChar w:fldCharType="begin"/>
      </w:r>
      <w:r w:rsidR="00E52611" w:rsidRPr="00E52611">
        <w:instrText xml:space="preserve"> ADDIN BA \xc &lt;@rec&gt; \xl 14 \s QOQUYW000089 \xpl 1 \l "(</w:instrText>
      </w:r>
      <w:r w:rsidR="00E52611" w:rsidRPr="00E52611">
        <w:rPr>
          <w:i/>
        </w:rPr>
        <w:instrText xml:space="preserve">See </w:instrText>
      </w:r>
      <w:r w:rsidR="00E52611" w:rsidRPr="00E52611">
        <w:instrText xml:space="preserve">R. at 15)" </w:instrText>
      </w:r>
      <w:r w:rsidR="00DF0559" w:rsidRPr="00E52611">
        <w:fldChar w:fldCharType="end"/>
      </w:r>
      <w:bookmarkStart w:id="108" w:name="_BA_Cite_221"/>
      <w:r w:rsidR="003F5BB3" w:rsidRPr="00E52611">
        <w:t>(</w:t>
      </w:r>
      <w:r w:rsidR="00737AF8" w:rsidRPr="00E52611">
        <w:rPr>
          <w:i/>
        </w:rPr>
        <w:t xml:space="preserve">See </w:t>
      </w:r>
      <w:r w:rsidR="003F5BB3" w:rsidRPr="00E52611">
        <w:t>R. at 15)</w:t>
      </w:r>
      <w:bookmarkEnd w:id="108"/>
      <w:r w:rsidR="003F5BB3" w:rsidRPr="00E52611">
        <w:t xml:space="preserve">. </w:t>
      </w:r>
      <w:r w:rsidR="0029286A" w:rsidRPr="00E52611">
        <w:t>As</w:t>
      </w:r>
      <w:r w:rsidR="00455B09" w:rsidRPr="00E52611">
        <w:t xml:space="preserve"> the </w:t>
      </w:r>
      <w:r w:rsidR="00DF0559" w:rsidRPr="00E52611">
        <w:fldChar w:fldCharType="begin"/>
      </w:r>
      <w:r w:rsidR="00E52611" w:rsidRPr="00E52611">
        <w:instrText xml:space="preserve"> ADDIN BA \xc &lt;@$cs&gt; \xl 8 \s QOQUYW000038 </w:instrText>
      </w:r>
      <w:r w:rsidR="00DF0559" w:rsidRPr="00E52611">
        <w:fldChar w:fldCharType="end"/>
      </w:r>
      <w:r w:rsidR="00455B09" w:rsidRPr="00E52611">
        <w:rPr>
          <w:i/>
        </w:rPr>
        <w:t>Cummings</w:t>
      </w:r>
      <w:r w:rsidR="0029286A" w:rsidRPr="00E52611">
        <w:t xml:space="preserve"> Court stated,</w:t>
      </w:r>
      <w:r w:rsidR="00455B09" w:rsidRPr="00E52611">
        <w:t xml:space="preserve"> “the deprivation of any rights, civil or political, previously enjoyed, may be punishment . . ..”. </w:t>
      </w:r>
      <w:r w:rsidR="00DF0559" w:rsidRPr="00E52611">
        <w:fldChar w:fldCharType="begin"/>
      </w:r>
      <w:r w:rsidR="00E52611" w:rsidRPr="00E52611">
        <w:instrText xml:space="preserve"> ADDIN BA \xc &lt;@$cs&gt; \xl 14 \s QOQUYW000038 \xhfl Rep </w:instrText>
      </w:r>
      <w:r w:rsidR="00DF0559" w:rsidRPr="00E52611">
        <w:fldChar w:fldCharType="end"/>
      </w:r>
      <w:r w:rsidR="00455B09" w:rsidRPr="00E52611">
        <w:t>71 U.S. at 320.</w:t>
      </w:r>
      <w:r w:rsidR="00455B09" w:rsidRPr="00E52611">
        <w:rPr>
          <w:i/>
        </w:rPr>
        <w:t xml:space="preserve"> </w:t>
      </w:r>
      <w:r w:rsidR="000605D2" w:rsidRPr="00E52611">
        <w:t xml:space="preserve">In </w:t>
      </w:r>
      <w:r w:rsidR="00DF0559" w:rsidRPr="00E52611">
        <w:fldChar w:fldCharType="begin"/>
      </w:r>
      <w:r w:rsidR="00E52611" w:rsidRPr="00E52611">
        <w:instrText xml:space="preserve"> ADDIN BA \xc &lt;@$cs&gt; \xl 6 \s QOQUYW000035 </w:instrText>
      </w:r>
      <w:r w:rsidR="00DF0559" w:rsidRPr="00E52611">
        <w:fldChar w:fldCharType="end"/>
      </w:r>
      <w:r w:rsidR="000605D2" w:rsidRPr="00E52611">
        <w:rPr>
          <w:i/>
        </w:rPr>
        <w:t>Lovett</w:t>
      </w:r>
      <w:r w:rsidR="00924757" w:rsidRPr="00E52611">
        <w:t xml:space="preserve">, Congress passed an appropriations law stating that no appropriations could ever be used to pay </w:t>
      </w:r>
      <w:r w:rsidR="00DE631B" w:rsidRPr="00E52611">
        <w:t>certain</w:t>
      </w:r>
      <w:r w:rsidR="00924757" w:rsidRPr="00E52611">
        <w:t xml:space="preserve"> specifi</w:t>
      </w:r>
      <w:r w:rsidR="008246C3" w:rsidRPr="00E52611">
        <w:t>cally named government employee</w:t>
      </w:r>
      <w:r w:rsidR="00924757" w:rsidRPr="00E52611">
        <w:t>s</w:t>
      </w:r>
      <w:r w:rsidR="008246C3" w:rsidRPr="00E52611">
        <w:t>’</w:t>
      </w:r>
      <w:r w:rsidR="00924757" w:rsidRPr="00E52611">
        <w:t xml:space="preserve"> salaries.</w:t>
      </w:r>
      <w:r w:rsidR="000605D2" w:rsidRPr="00E52611">
        <w:rPr>
          <w:i/>
        </w:rPr>
        <w:t xml:space="preserve"> </w:t>
      </w:r>
      <w:r w:rsidR="00DF0559" w:rsidRPr="00E52611">
        <w:fldChar w:fldCharType="begin"/>
      </w:r>
      <w:r w:rsidR="00E52611" w:rsidRPr="00E52611">
        <w:instrText xml:space="preserve"> ADDIN BA \xc &lt;@$cs&gt; \xl 18 \s QOQUYW000035 \xhfl Rep </w:instrText>
      </w:r>
      <w:r w:rsidR="00DF0559" w:rsidRPr="00E52611">
        <w:fldChar w:fldCharType="end"/>
      </w:r>
      <w:r w:rsidR="000605D2" w:rsidRPr="00E52611">
        <w:t>328 U.S. at</w:t>
      </w:r>
      <w:r w:rsidR="00924757" w:rsidRPr="00E52611">
        <w:t xml:space="preserve"> 312-13.</w:t>
      </w:r>
      <w:r w:rsidR="000E554A" w:rsidRPr="00E52611">
        <w:t xml:space="preserve"> </w:t>
      </w:r>
      <w:r w:rsidR="000605D2" w:rsidRPr="00E52611">
        <w:t xml:space="preserve">This Court held </w:t>
      </w:r>
      <w:r w:rsidR="008246C3" w:rsidRPr="00E52611">
        <w:t xml:space="preserve">that the fact that </w:t>
      </w:r>
      <w:r w:rsidR="003B016D" w:rsidRPr="00E52611">
        <w:t>the punishment was</w:t>
      </w:r>
      <w:r w:rsidR="000605D2" w:rsidRPr="00E52611">
        <w:t xml:space="preserve"> </w:t>
      </w:r>
      <w:r w:rsidR="003B016D" w:rsidRPr="00E52611">
        <w:t>perform</w:t>
      </w:r>
      <w:r w:rsidR="00BB6317" w:rsidRPr="00E52611">
        <w:t>ed through an appropriations bill</w:t>
      </w:r>
      <w:r w:rsidR="003B016D" w:rsidRPr="00E52611">
        <w:t xml:space="preserve"> made it “</w:t>
      </w:r>
      <w:r w:rsidR="000605D2" w:rsidRPr="00E52611">
        <w:t xml:space="preserve">no less galling or effective than if it had been done by an Act which designated the conduct as criminal.” </w:t>
      </w:r>
      <w:r w:rsidR="00DF0559" w:rsidRPr="00E52611">
        <w:fldChar w:fldCharType="begin"/>
      </w:r>
      <w:r w:rsidR="00E52611" w:rsidRPr="00E52611">
        <w:instrText xml:space="preserve"> ADDIN BA \xc &lt;@$id&gt; \xl 10 \s ID \xhfl Rep </w:instrText>
      </w:r>
      <w:r w:rsidR="00DF0559" w:rsidRPr="00E52611">
        <w:fldChar w:fldCharType="end"/>
      </w:r>
      <w:r w:rsidR="000605D2" w:rsidRPr="00E52611">
        <w:rPr>
          <w:i/>
        </w:rPr>
        <w:t xml:space="preserve">Id. </w:t>
      </w:r>
      <w:r w:rsidR="000605D2" w:rsidRPr="00E52611">
        <w:t xml:space="preserve">at 316. </w:t>
      </w:r>
      <w:r w:rsidR="008F5872" w:rsidRPr="00E52611">
        <w:t>And</w:t>
      </w:r>
      <w:r w:rsidR="00457D55" w:rsidRPr="00E52611">
        <w:t xml:space="preserve"> in </w:t>
      </w:r>
      <w:r w:rsidR="00457D55" w:rsidRPr="00E52611">
        <w:rPr>
          <w:i/>
        </w:rPr>
        <w:t>Florida Youth</w:t>
      </w:r>
      <w:r w:rsidR="00F7097B" w:rsidRPr="00E52611">
        <w:t>,</w:t>
      </w:r>
      <w:r w:rsidR="00457D55" w:rsidRPr="00E52611">
        <w:t xml:space="preserve"> a district court struck down an appropriations measure </w:t>
      </w:r>
      <w:r w:rsidR="004717A1" w:rsidRPr="00E52611">
        <w:t xml:space="preserve">excluding </w:t>
      </w:r>
      <w:r w:rsidR="00457D55" w:rsidRPr="00E52611">
        <w:t>plaintiff non-profit from st</w:t>
      </w:r>
      <w:r w:rsidR="00417189" w:rsidRPr="00E52611">
        <w:t>ate funds</w:t>
      </w:r>
      <w:r w:rsidR="00FE6CFA" w:rsidRPr="00E52611">
        <w:t xml:space="preserve">, </w:t>
      </w:r>
      <w:r w:rsidR="00D76EB9" w:rsidRPr="00E52611">
        <w:t>calling the statute “</w:t>
      </w:r>
      <w:r w:rsidR="00457D55" w:rsidRPr="00E52611">
        <w:t xml:space="preserve">legislative action very much akin </w:t>
      </w:r>
      <w:r w:rsidR="00457D55" w:rsidRPr="00E52611">
        <w:lastRenderedPageBreak/>
        <w:t xml:space="preserve">to the enactments that prompted the framers to include in the Constitution a prohibition on bills of attainder.” </w:t>
      </w:r>
      <w:r w:rsidR="00DF0559" w:rsidRPr="00E52611">
        <w:fldChar w:fldCharType="begin"/>
      </w:r>
      <w:r w:rsidR="00E52611" w:rsidRPr="00E52611">
        <w:instrText xml:space="preserve"> ADDIN BA \xc &lt;@oppt&gt; \xl 24 \s QOQUYW000090 \l "2011 WL 1835967, at *1-2" </w:instrText>
      </w:r>
      <w:r w:rsidR="00DF0559" w:rsidRPr="00E52611">
        <w:fldChar w:fldCharType="end"/>
      </w:r>
      <w:bookmarkStart w:id="109" w:name="_BA_Cite_222"/>
      <w:r w:rsidR="00C149E6" w:rsidRPr="00E52611">
        <w:t>2011 WL 1835967, at *1-2</w:t>
      </w:r>
      <w:bookmarkEnd w:id="109"/>
      <w:r w:rsidR="00C149E6" w:rsidRPr="00E52611">
        <w:t>.</w:t>
      </w:r>
    </w:p>
    <w:p w:rsidR="00FA4C62" w:rsidRPr="00E52611" w:rsidRDefault="00212053" w:rsidP="00DE4AFA">
      <w:pPr>
        <w:pStyle w:val="Heading3"/>
        <w:numPr>
          <w:ilvl w:val="0"/>
          <w:numId w:val="14"/>
        </w:numPr>
        <w:ind w:hanging="720"/>
      </w:pPr>
      <w:bookmarkStart w:id="110" w:name="_Toc190667449"/>
      <w:r w:rsidRPr="00E52611">
        <w:t xml:space="preserve">The Appropriations Laws </w:t>
      </w:r>
      <w:r w:rsidR="004610A8" w:rsidRPr="00E52611">
        <w:t>Punish</w:t>
      </w:r>
      <w:r w:rsidR="0075720B" w:rsidRPr="00E52611">
        <w:t xml:space="preserve"> ACORN and I</w:t>
      </w:r>
      <w:r w:rsidRPr="00E52611">
        <w:t>ts Affiliates under the Functional Test</w:t>
      </w:r>
      <w:bookmarkEnd w:id="110"/>
    </w:p>
    <w:p w:rsidR="003003BA" w:rsidRPr="00E52611" w:rsidRDefault="003003BA" w:rsidP="003003BA"/>
    <w:p w:rsidR="004C6F2F" w:rsidRPr="00E52611" w:rsidRDefault="00FA4C62" w:rsidP="003003BA">
      <w:pPr>
        <w:spacing w:line="480" w:lineRule="auto"/>
      </w:pPr>
      <w:r w:rsidRPr="00E52611">
        <w:rPr>
          <w:b/>
        </w:rPr>
        <w:tab/>
      </w:r>
      <w:r w:rsidRPr="00E52611">
        <w:t>The functional test considers</w:t>
      </w:r>
      <w:r w:rsidR="0002253D" w:rsidRPr="00E52611">
        <w:t xml:space="preserve"> whether the challenged statute</w:t>
      </w:r>
      <w:r w:rsidRPr="00E52611">
        <w:t xml:space="preserve"> “viewed in terms of the type and severity of burdens imposed, reasonably can be said to further nonpunitive legislative purposes.” </w:t>
      </w:r>
      <w:r w:rsidR="00DF0559" w:rsidRPr="00E52611">
        <w:fldChar w:fldCharType="begin"/>
      </w:r>
      <w:r w:rsidR="00E52611" w:rsidRPr="00E52611">
        <w:instrText xml:space="preserve"> ADDIN BA \xc &lt;@$cs&gt; \xl 22 \s QOQUYW000015 \xhfl Rep </w:instrText>
      </w:r>
      <w:r w:rsidR="00DF0559" w:rsidRPr="00E52611">
        <w:fldChar w:fldCharType="end"/>
      </w:r>
      <w:r w:rsidRPr="00E52611">
        <w:rPr>
          <w:i/>
        </w:rPr>
        <w:t>Nixon</w:t>
      </w:r>
      <w:r w:rsidRPr="00E52611">
        <w:t xml:space="preserve">, 433 U.S. at 475. </w:t>
      </w:r>
      <w:r w:rsidR="00960E2D" w:rsidRPr="00E52611">
        <w:t xml:space="preserve">Congress’ nonpunitive goals must be “sufficiently clear and convincing.” </w:t>
      </w:r>
      <w:r w:rsidR="00DF0559" w:rsidRPr="00E52611">
        <w:fldChar w:fldCharType="begin"/>
      </w:r>
      <w:r w:rsidR="00E52611" w:rsidRPr="00E52611">
        <w:instrText xml:space="preserve"> ADDIN BA \xc &lt;@$cs&gt; \xl 26 \s QOQUYW000048 \xhfl Rep </w:instrText>
      </w:r>
      <w:r w:rsidR="00DF0559" w:rsidRPr="00E52611">
        <w:fldChar w:fldCharType="end"/>
      </w:r>
      <w:bookmarkStart w:id="111" w:name="_BA_Cite_223"/>
      <w:r w:rsidR="00960E2D" w:rsidRPr="00E52611">
        <w:rPr>
          <w:i/>
        </w:rPr>
        <w:t>BellSouth</w:t>
      </w:r>
      <w:r w:rsidR="00960E2D" w:rsidRPr="00E52611">
        <w:t>, 162 F.3d</w:t>
      </w:r>
      <w:r w:rsidR="00A72A24" w:rsidRPr="00E52611">
        <w:t xml:space="preserve"> </w:t>
      </w:r>
      <w:r w:rsidR="006864CB" w:rsidRPr="00E52611">
        <w:t>at</w:t>
      </w:r>
      <w:r w:rsidR="00960E2D" w:rsidRPr="00E52611">
        <w:t xml:space="preserve"> 686</w:t>
      </w:r>
      <w:bookmarkEnd w:id="111"/>
      <w:r w:rsidR="00960E2D" w:rsidRPr="00E52611">
        <w:t>.</w:t>
      </w:r>
      <w:r w:rsidR="002129D5" w:rsidRPr="00E52611">
        <w:t xml:space="preserve"> </w:t>
      </w:r>
      <w:r w:rsidR="00BA45CD" w:rsidRPr="00E52611">
        <w:t>In examining the type and severity of statutor</w:t>
      </w:r>
      <w:r w:rsidR="004871DC" w:rsidRPr="00E52611">
        <w:t xml:space="preserve">y </w:t>
      </w:r>
      <w:r w:rsidR="00BA45CD" w:rsidRPr="00E52611">
        <w:t xml:space="preserve">burdens, courts </w:t>
      </w:r>
      <w:r w:rsidR="00297E04" w:rsidRPr="00E52611">
        <w:t>consider several factors.</w:t>
      </w:r>
      <w:r w:rsidR="00BA45CD" w:rsidRPr="00E52611">
        <w:t xml:space="preserve"> </w:t>
      </w:r>
      <w:r w:rsidR="000F723C" w:rsidRPr="00E52611">
        <w:t>S</w:t>
      </w:r>
      <w:r w:rsidR="00782877" w:rsidRPr="00E52611">
        <w:t xml:space="preserve">tatutes that erect inescapable bars constitute punishment. </w:t>
      </w:r>
      <w:r w:rsidR="00782877" w:rsidRPr="00E52611">
        <w:rPr>
          <w:i/>
        </w:rPr>
        <w:t xml:space="preserve">See </w:t>
      </w:r>
      <w:r w:rsidR="00DF0559" w:rsidRPr="00E52611">
        <w:fldChar w:fldCharType="begin"/>
      </w:r>
      <w:r w:rsidR="00E52611" w:rsidRPr="00E52611">
        <w:instrText xml:space="preserve"> ADDIN BA \xc &lt;@cs&gt; \xl 53 \s QOQUYW000049 \xhfl Rep \l "</w:instrText>
      </w:r>
      <w:r w:rsidR="00E52611" w:rsidRPr="00E52611">
        <w:rPr>
          <w:i/>
        </w:rPr>
        <w:instrText>Am. Commc’ns Ass’n v. Douds</w:instrText>
      </w:r>
      <w:r w:rsidR="00E52611" w:rsidRPr="00E52611">
        <w:instrText xml:space="preserve">,&lt;SoftRt&gt; 339 U.S. 382 (1950)" </w:instrText>
      </w:r>
      <w:r w:rsidR="00DF0559" w:rsidRPr="00E52611">
        <w:fldChar w:fldCharType="end"/>
      </w:r>
      <w:bookmarkStart w:id="112" w:name="_BA_Cite_224"/>
      <w:r w:rsidR="004B3D48" w:rsidRPr="00E52611">
        <w:rPr>
          <w:i/>
        </w:rPr>
        <w:t xml:space="preserve">Am. Commc’ns Ass’n v. </w:t>
      </w:r>
      <w:r w:rsidR="00782877" w:rsidRPr="00E52611">
        <w:rPr>
          <w:i/>
        </w:rPr>
        <w:t>Douds</w:t>
      </w:r>
      <w:r w:rsidR="00782877" w:rsidRPr="00E52611">
        <w:t xml:space="preserve">, 339 U.S. </w:t>
      </w:r>
      <w:r w:rsidR="00E133F3" w:rsidRPr="00E52611">
        <w:t>382,</w:t>
      </w:r>
      <w:r w:rsidR="00782877" w:rsidRPr="00E52611">
        <w:t xml:space="preserve"> 414</w:t>
      </w:r>
      <w:r w:rsidR="00E133F3" w:rsidRPr="00E52611">
        <w:t xml:space="preserve"> (1950)</w:t>
      </w:r>
      <w:bookmarkEnd w:id="112"/>
      <w:r w:rsidR="00782877" w:rsidRPr="00E52611">
        <w:t>.</w:t>
      </w:r>
      <w:r w:rsidR="00560BD6" w:rsidRPr="00E52611">
        <w:t xml:space="preserve"> </w:t>
      </w:r>
      <w:r w:rsidR="00EC5168" w:rsidRPr="00E52611">
        <w:t>A</w:t>
      </w:r>
      <w:r w:rsidR="00E26B87" w:rsidRPr="00E52611">
        <w:t xml:space="preserve"> “</w:t>
      </w:r>
      <w:r w:rsidR="004C6F2F" w:rsidRPr="00E52611">
        <w:t xml:space="preserve">statute that burdens a particular” entity “must serve purposes that are not only nonpunitive, but also rational and fair.” </w:t>
      </w:r>
      <w:r w:rsidR="00DF0559" w:rsidRPr="00E52611">
        <w:fldChar w:fldCharType="begin"/>
      </w:r>
      <w:r w:rsidR="00E52611" w:rsidRPr="00E52611">
        <w:instrText xml:space="preserve"> ADDIN BA \xc &lt;@$cs&gt; \xl 26 \s QOQUYW000036 \xhfl Rep </w:instrText>
      </w:r>
      <w:r w:rsidR="00DF0559" w:rsidRPr="00E52611">
        <w:fldChar w:fldCharType="end"/>
      </w:r>
      <w:r w:rsidR="00560BD6" w:rsidRPr="00E52611">
        <w:rPr>
          <w:i/>
        </w:rPr>
        <w:t>For</w:t>
      </w:r>
      <w:r w:rsidR="004C6F2F" w:rsidRPr="00E52611">
        <w:rPr>
          <w:i/>
        </w:rPr>
        <w:t>e</w:t>
      </w:r>
      <w:r w:rsidR="00560BD6" w:rsidRPr="00E52611">
        <w:rPr>
          <w:i/>
        </w:rPr>
        <w:t>t</w:t>
      </w:r>
      <w:r w:rsidR="004C6F2F" w:rsidRPr="00E52611">
        <w:rPr>
          <w:i/>
        </w:rPr>
        <w:t>ich</w:t>
      </w:r>
      <w:r w:rsidR="004C6F2F" w:rsidRPr="00E52611">
        <w:t xml:space="preserve">, 351 F.3d at 1222 (citing </w:t>
      </w:r>
      <w:r w:rsidR="00DF0559" w:rsidRPr="00E52611">
        <w:fldChar w:fldCharType="begin"/>
      </w:r>
      <w:r w:rsidR="00E52611" w:rsidRPr="00E52611">
        <w:instrText xml:space="preserve"> ADDIN BA \xc &lt;@$cs&gt; \xl 37 \s QOQUYW000017 \xhfl Rep \xqt \xpl 1 </w:instrText>
      </w:r>
      <w:r w:rsidR="00DF0559" w:rsidRPr="00E52611">
        <w:fldChar w:fldCharType="end"/>
      </w:r>
      <w:r w:rsidR="004C6F2F" w:rsidRPr="00E52611">
        <w:rPr>
          <w:i/>
        </w:rPr>
        <w:t>Selective Serv. Sys.</w:t>
      </w:r>
      <w:r w:rsidR="004C6F2F" w:rsidRPr="00E52611">
        <w:t>, 468 U.S. at 854</w:t>
      </w:r>
      <w:r w:rsidR="00EC5168" w:rsidRPr="00E52611">
        <w:t>)</w:t>
      </w:r>
      <w:r w:rsidR="004C6F2F" w:rsidRPr="00E52611">
        <w:t xml:space="preserve">. “There must be a nexus between the legislative means and legitimate nonpunitive ends.” </w:t>
      </w:r>
      <w:r w:rsidR="00DF0559" w:rsidRPr="00E52611">
        <w:fldChar w:fldCharType="begin"/>
      </w:r>
      <w:r w:rsidR="00E52611" w:rsidRPr="00E52611">
        <w:instrText xml:space="preserve"> ADDIN BA \xc &lt;@$id&gt; \xl 3 \s ID </w:instrText>
      </w:r>
      <w:r w:rsidR="00DF0559" w:rsidRPr="00E52611">
        <w:fldChar w:fldCharType="end"/>
      </w:r>
      <w:r w:rsidR="004C6F2F" w:rsidRPr="00E52611">
        <w:rPr>
          <w:i/>
        </w:rPr>
        <w:t xml:space="preserve">Id. </w:t>
      </w:r>
      <w:r w:rsidR="001720FB" w:rsidRPr="00E52611">
        <w:t>And a “</w:t>
      </w:r>
      <w:r w:rsidR="004C6F2F" w:rsidRPr="00E52611">
        <w:t xml:space="preserve">court must weigh the purported nonpunitive purpose of a statute against the magnitude of the burden it inflicts.” </w:t>
      </w:r>
      <w:r w:rsidR="00DF0559" w:rsidRPr="00E52611">
        <w:fldChar w:fldCharType="begin"/>
      </w:r>
      <w:r w:rsidR="00E52611" w:rsidRPr="00E52611">
        <w:instrText xml:space="preserve"> ADDIN BA \xc &lt;@$id&gt; \xl 3 \s ID </w:instrText>
      </w:r>
      <w:r w:rsidR="00DF0559" w:rsidRPr="00E52611">
        <w:fldChar w:fldCharType="end"/>
      </w:r>
      <w:r w:rsidR="004C6F2F" w:rsidRPr="00E52611">
        <w:rPr>
          <w:i/>
        </w:rPr>
        <w:t>Id.</w:t>
      </w:r>
      <w:r w:rsidR="004C6F2F" w:rsidRPr="00E52611">
        <w:t xml:space="preserve"> (citing </w:t>
      </w:r>
      <w:r w:rsidR="00DF0559" w:rsidRPr="00E52611">
        <w:fldChar w:fldCharType="begin"/>
      </w:r>
      <w:r w:rsidR="00E52611" w:rsidRPr="00E52611">
        <w:instrText xml:space="preserve"> ADDIN BA \xc &lt;@$cs&gt; \xl 25 \s QOQUYW000015 \xhfl Rep \xqt \xpl 1 </w:instrText>
      </w:r>
      <w:r w:rsidR="00DF0559" w:rsidRPr="00E52611">
        <w:fldChar w:fldCharType="end"/>
      </w:r>
      <w:r w:rsidR="004C6F2F" w:rsidRPr="00E52611">
        <w:rPr>
          <w:i/>
        </w:rPr>
        <w:t>Nixon</w:t>
      </w:r>
      <w:r w:rsidR="004C6F2F" w:rsidRPr="00E52611">
        <w:t xml:space="preserve">, 433 U.S. at 475-76). </w:t>
      </w:r>
    </w:p>
    <w:p w:rsidR="004C6F2F" w:rsidRPr="00E52611" w:rsidRDefault="004C6F2F" w:rsidP="002F2104">
      <w:pPr>
        <w:pStyle w:val="Heading4"/>
        <w:numPr>
          <w:ilvl w:val="0"/>
          <w:numId w:val="18"/>
        </w:numPr>
        <w:ind w:left="2160" w:hanging="720"/>
        <w:rPr>
          <w:i w:val="0"/>
          <w:u w:val="single"/>
        </w:rPr>
      </w:pPr>
      <w:r w:rsidRPr="00E52611">
        <w:rPr>
          <w:i w:val="0"/>
          <w:u w:val="single"/>
        </w:rPr>
        <w:t>The Appropriations Laws Create an Inescapable B</w:t>
      </w:r>
      <w:r w:rsidR="00F87645" w:rsidRPr="00E52611">
        <w:rPr>
          <w:i w:val="0"/>
          <w:u w:val="single"/>
        </w:rPr>
        <w:t>ar to</w:t>
      </w:r>
      <w:r w:rsidR="006F06D2" w:rsidRPr="00E52611">
        <w:rPr>
          <w:i w:val="0"/>
          <w:u w:val="single"/>
        </w:rPr>
        <w:t xml:space="preserve"> Federal Funding in Fiscal </w:t>
      </w:r>
      <w:r w:rsidRPr="00E52611">
        <w:rPr>
          <w:i w:val="0"/>
          <w:u w:val="single"/>
        </w:rPr>
        <w:t>Year 2010</w:t>
      </w:r>
    </w:p>
    <w:p w:rsidR="00762884" w:rsidRPr="00E52611" w:rsidRDefault="00762884" w:rsidP="00762884"/>
    <w:p w:rsidR="005C3EF6" w:rsidRPr="00E52611" w:rsidRDefault="00515540" w:rsidP="00B77491">
      <w:pPr>
        <w:pStyle w:val="ListParagraph"/>
        <w:spacing w:line="480" w:lineRule="auto"/>
        <w:ind w:left="0" w:firstLine="720"/>
      </w:pPr>
      <w:r w:rsidRPr="00E52611">
        <w:t xml:space="preserve">In </w:t>
      </w:r>
      <w:r w:rsidR="00DF0559" w:rsidRPr="00E52611">
        <w:fldChar w:fldCharType="begin"/>
      </w:r>
      <w:r w:rsidR="00E52611" w:rsidRPr="00E52611">
        <w:instrText xml:space="preserve"> ADDIN BA \xc &lt;@$cs&gt; \xl 5 \s QOQUYW000016 </w:instrText>
      </w:r>
      <w:r w:rsidR="00DF0559" w:rsidRPr="00E52611">
        <w:fldChar w:fldCharType="end"/>
      </w:r>
      <w:r w:rsidRPr="00E52611">
        <w:rPr>
          <w:i/>
        </w:rPr>
        <w:t>Brown</w:t>
      </w:r>
      <w:r w:rsidR="00315680" w:rsidRPr="00E52611">
        <w:t>, this C</w:t>
      </w:r>
      <w:r w:rsidRPr="00E52611">
        <w:t xml:space="preserve">ourt held that inescapability is not “an absolute prerequisite to a finding of attainder.” </w:t>
      </w:r>
      <w:r w:rsidR="00DF0559" w:rsidRPr="00E52611">
        <w:fldChar w:fldCharType="begin"/>
      </w:r>
      <w:r w:rsidR="00E52611" w:rsidRPr="00E52611">
        <w:instrText xml:space="preserve"> ADDIN BA \xc &lt;@$cs&gt; \xl 23 \s QOQUYW000016 \xhfl Rep </w:instrText>
      </w:r>
      <w:r w:rsidR="00DF0559" w:rsidRPr="00E52611">
        <w:fldChar w:fldCharType="end"/>
      </w:r>
      <w:r w:rsidRPr="00E52611">
        <w:t xml:space="preserve">381 U.S. at 457, fn. 32. </w:t>
      </w:r>
      <w:r w:rsidR="00B41AB1" w:rsidRPr="00E52611">
        <w:t xml:space="preserve">Yet </w:t>
      </w:r>
      <w:r w:rsidR="00297E04" w:rsidRPr="00E52611">
        <w:t>an “escape route” in a regulation or statute often weighs against attainder</w:t>
      </w:r>
      <w:r w:rsidR="00B41AB1" w:rsidRPr="00E52611">
        <w:t xml:space="preserve">. </w:t>
      </w:r>
      <w:r w:rsidR="00B41AB1" w:rsidRPr="00E52611">
        <w:rPr>
          <w:i/>
        </w:rPr>
        <w:t xml:space="preserve">See, e.g., </w:t>
      </w:r>
      <w:r w:rsidR="00DF0559" w:rsidRPr="00E52611">
        <w:fldChar w:fldCharType="begin"/>
      </w:r>
      <w:r w:rsidR="00E52611" w:rsidRPr="00E52611">
        <w:instrText xml:space="preserve"> ADDIN BA \xc &lt;@$cs&gt; \xl 20 \s QOQUYW000023 \xhfl Rep </w:instrText>
      </w:r>
      <w:r w:rsidR="00DF0559" w:rsidRPr="00E52611">
        <w:fldChar w:fldCharType="end"/>
      </w:r>
      <w:r w:rsidR="00B41AB1" w:rsidRPr="00E52611">
        <w:rPr>
          <w:i/>
        </w:rPr>
        <w:t>SBC</w:t>
      </w:r>
      <w:r w:rsidR="00B41AB1" w:rsidRPr="00E52611">
        <w:t xml:space="preserve">, 154 F.3d at 243; </w:t>
      </w:r>
      <w:r w:rsidR="00DF0559" w:rsidRPr="00E52611">
        <w:fldChar w:fldCharType="begin"/>
      </w:r>
      <w:r w:rsidR="00E52611" w:rsidRPr="00E52611">
        <w:instrText xml:space="preserve"> ADDIN BA \xc &lt;@cs&gt; \xl 86 \s QOQUYW000050 \xhfl Rep \l "</w:instrText>
      </w:r>
      <w:r w:rsidR="00E52611" w:rsidRPr="00E52611">
        <w:rPr>
          <w:i/>
        </w:rPr>
        <w:instrText>Planned Parenthood of Mid. Mo. &amp; E. Kan. v. Dempsey</w:instrText>
      </w:r>
      <w:r w:rsidR="00E52611" w:rsidRPr="00E52611">
        <w:instrText xml:space="preserve">,&lt;SoftRt&gt; 167 F.3d 458 (8th Cir. 1999)" </w:instrText>
      </w:r>
      <w:r w:rsidR="00DF0559" w:rsidRPr="00E52611">
        <w:fldChar w:fldCharType="end"/>
      </w:r>
      <w:bookmarkStart w:id="113" w:name="_BA_Cite_225"/>
      <w:r w:rsidR="006D6A8C" w:rsidRPr="00E52611">
        <w:rPr>
          <w:i/>
        </w:rPr>
        <w:t xml:space="preserve">Planned Parenthood of Mid. Mo. &amp; E. Kan. v. </w:t>
      </w:r>
      <w:r w:rsidR="00B41AB1" w:rsidRPr="00E52611">
        <w:rPr>
          <w:i/>
        </w:rPr>
        <w:t>Dempsey</w:t>
      </w:r>
      <w:r w:rsidR="006D6A8C" w:rsidRPr="00E52611">
        <w:t xml:space="preserve">, </w:t>
      </w:r>
      <w:r w:rsidR="006D6A8C" w:rsidRPr="00E52611">
        <w:lastRenderedPageBreak/>
        <w:t>167 F.3d</w:t>
      </w:r>
      <w:r w:rsidR="00CA167A" w:rsidRPr="00E52611">
        <w:t xml:space="preserve"> </w:t>
      </w:r>
      <w:r w:rsidR="006D6A8C" w:rsidRPr="00E52611">
        <w:t xml:space="preserve">458, </w:t>
      </w:r>
      <w:r w:rsidR="00CA167A" w:rsidRPr="00E52611">
        <w:t>465</w:t>
      </w:r>
      <w:r w:rsidR="006D6A8C" w:rsidRPr="00E52611">
        <w:t xml:space="preserve"> (8th Cir. 1999)</w:t>
      </w:r>
      <w:bookmarkEnd w:id="113"/>
      <w:r w:rsidR="00CA167A" w:rsidRPr="00E52611">
        <w:t>. The appropriations l</w:t>
      </w:r>
      <w:r w:rsidR="00B41AB1" w:rsidRPr="00E52611">
        <w:t xml:space="preserve">aws erect an insurmountable bar to ACORN receiving federal </w:t>
      </w:r>
      <w:r w:rsidR="001E3238">
        <w:t>funds in two ways</w:t>
      </w:r>
      <w:r w:rsidR="009C6E49" w:rsidRPr="00E52611">
        <w:t>. First, the l</w:t>
      </w:r>
      <w:r w:rsidR="00BD2392" w:rsidRPr="00E52611">
        <w:t>aws apply</w:t>
      </w:r>
      <w:r w:rsidR="00B41AB1" w:rsidRPr="00E52611">
        <w:t xml:space="preserve"> to ACORN and all of its affiliates. Second, the laws set forth no </w:t>
      </w:r>
      <w:r w:rsidR="00430F18" w:rsidRPr="00E52611">
        <w:t>terms</w:t>
      </w:r>
      <w:r w:rsidR="00BD2392" w:rsidRPr="00E52611">
        <w:t xml:space="preserve"> by</w:t>
      </w:r>
      <w:r w:rsidR="00B41AB1" w:rsidRPr="00E52611">
        <w:t xml:space="preserve"> which ACORN may get around the funding ban. </w:t>
      </w:r>
    </w:p>
    <w:p w:rsidR="00C83257" w:rsidRPr="00E52611" w:rsidRDefault="00C83257" w:rsidP="001E3504">
      <w:pPr>
        <w:pStyle w:val="Heading5"/>
        <w:numPr>
          <w:ilvl w:val="0"/>
          <w:numId w:val="7"/>
        </w:numPr>
        <w:spacing w:line="480" w:lineRule="auto"/>
        <w:ind w:left="2880" w:hanging="720"/>
        <w:rPr>
          <w:i/>
        </w:rPr>
      </w:pPr>
      <w:r w:rsidRPr="00E52611">
        <w:rPr>
          <w:i/>
        </w:rPr>
        <w:t xml:space="preserve">Affiliates </w:t>
      </w:r>
    </w:p>
    <w:p w:rsidR="00430F18" w:rsidRPr="00E52611" w:rsidRDefault="00A0018B" w:rsidP="00762884">
      <w:pPr>
        <w:pStyle w:val="ListParagraph"/>
        <w:tabs>
          <w:tab w:val="left" w:pos="990"/>
        </w:tabs>
        <w:spacing w:line="480" w:lineRule="auto"/>
        <w:ind w:left="0" w:firstLine="720"/>
      </w:pPr>
      <w:r w:rsidRPr="00E52611">
        <w:t xml:space="preserve">In </w:t>
      </w:r>
      <w:r w:rsidR="00DF0559" w:rsidRPr="00E52611">
        <w:fldChar w:fldCharType="begin"/>
      </w:r>
      <w:r w:rsidR="00E52611" w:rsidRPr="00E52611">
        <w:instrText xml:space="preserve"> ADDIN BA \xc &lt;@$cs&gt; \xl 5 \s QOQUYW000016 </w:instrText>
      </w:r>
      <w:r w:rsidR="00DF0559" w:rsidRPr="00E52611">
        <w:fldChar w:fldCharType="end"/>
      </w:r>
      <w:r w:rsidRPr="00E52611">
        <w:rPr>
          <w:i/>
        </w:rPr>
        <w:t>Brown</w:t>
      </w:r>
      <w:r w:rsidRPr="00E52611">
        <w:t xml:space="preserve">, the Court held that an overinclusive law depriving not only proven government subversives, but </w:t>
      </w:r>
      <w:r w:rsidRPr="00E52611">
        <w:rPr>
          <w:i/>
        </w:rPr>
        <w:t xml:space="preserve">all </w:t>
      </w:r>
      <w:r w:rsidR="00430F18" w:rsidRPr="00E52611">
        <w:t xml:space="preserve">communists </w:t>
      </w:r>
      <w:r w:rsidRPr="00E52611">
        <w:t>the o</w:t>
      </w:r>
      <w:r w:rsidR="00430F18" w:rsidRPr="00E52611">
        <w:t>pportunity for union leadership</w:t>
      </w:r>
      <w:r w:rsidRPr="00E52611">
        <w:t xml:space="preserve"> was impermissible punishment. </w:t>
      </w:r>
      <w:r w:rsidR="00DF0559" w:rsidRPr="00E52611">
        <w:fldChar w:fldCharType="begin"/>
      </w:r>
      <w:r w:rsidR="00E52611" w:rsidRPr="00E52611">
        <w:instrText xml:space="preserve"> ADDIN BA \xc &lt;@$cs&gt; \xl 15 \s QOQUYW000016 \xhfl Rep </w:instrText>
      </w:r>
      <w:r w:rsidR="00DF0559" w:rsidRPr="00E52611">
        <w:fldChar w:fldCharType="end"/>
      </w:r>
      <w:r w:rsidR="00932552" w:rsidRPr="00E52611">
        <w:t xml:space="preserve">381 U.S. at 456. It stated that “even assuming that Congress had reason to conclude that some Communists would use union positions to bring about political strikes, it cannot automatically be inferred that all members share their evil purposes or participate in their illegal conduct.” </w:t>
      </w:r>
      <w:r w:rsidR="00DF0559" w:rsidRPr="00E52611">
        <w:fldChar w:fldCharType="begin"/>
      </w:r>
      <w:r w:rsidR="00E52611" w:rsidRPr="00E52611">
        <w:instrText xml:space="preserve"> ADDIN BA \xc &lt;@$id&gt; \xl 3 \s ID </w:instrText>
      </w:r>
      <w:r w:rsidR="00DF0559" w:rsidRPr="00E52611">
        <w:fldChar w:fldCharType="end"/>
      </w:r>
      <w:r w:rsidR="00932552" w:rsidRPr="00E52611">
        <w:rPr>
          <w:i/>
        </w:rPr>
        <w:t xml:space="preserve">Id. </w:t>
      </w:r>
      <w:r w:rsidR="00932552" w:rsidRPr="00E52611">
        <w:t xml:space="preserve">(internal quotations omitted). </w:t>
      </w:r>
    </w:p>
    <w:p w:rsidR="00670112" w:rsidRPr="00E52611" w:rsidRDefault="00A14E38" w:rsidP="00762884">
      <w:pPr>
        <w:pStyle w:val="ListParagraph"/>
        <w:tabs>
          <w:tab w:val="left" w:pos="990"/>
        </w:tabs>
        <w:spacing w:line="480" w:lineRule="auto"/>
        <w:ind w:left="0" w:firstLine="720"/>
      </w:pPr>
      <w:r w:rsidRPr="00E52611">
        <w:t xml:space="preserve">Lower courts </w:t>
      </w:r>
      <w:r w:rsidR="00CF6F27" w:rsidRPr="00E52611">
        <w:t xml:space="preserve">have held </w:t>
      </w:r>
      <w:r w:rsidR="003725A2" w:rsidRPr="00E52611">
        <w:t>that statutes depriving both</w:t>
      </w:r>
      <w:r w:rsidR="006258D6" w:rsidRPr="00E52611">
        <w:t xml:space="preserve"> a corporation </w:t>
      </w:r>
      <w:r w:rsidR="006258D6" w:rsidRPr="001E3238">
        <w:t>and its affiliat</w:t>
      </w:r>
      <w:r w:rsidR="003506CF" w:rsidRPr="001E3238">
        <w:t>es</w:t>
      </w:r>
      <w:r w:rsidR="00172AC5" w:rsidRPr="001E3238">
        <w:t xml:space="preserve"> </w:t>
      </w:r>
      <w:r w:rsidR="00E30B51" w:rsidRPr="00E52611">
        <w:t xml:space="preserve">of </w:t>
      </w:r>
      <w:r w:rsidR="00172AC5" w:rsidRPr="00E52611">
        <w:t>state funds</w:t>
      </w:r>
      <w:r w:rsidR="001E3238">
        <w:t xml:space="preserve"> constitute</w:t>
      </w:r>
      <w:r w:rsidR="006258D6" w:rsidRPr="00E52611">
        <w:t xml:space="preserve"> punishment under the functional test. </w:t>
      </w:r>
      <w:r w:rsidR="00C354D7" w:rsidRPr="00E52611">
        <w:t>In</w:t>
      </w:r>
      <w:r w:rsidR="00132E51" w:rsidRPr="00E52611">
        <w:t xml:space="preserve"> </w:t>
      </w:r>
      <w:r w:rsidR="00DF0559" w:rsidRPr="00E52611">
        <w:fldChar w:fldCharType="begin"/>
      </w:r>
      <w:r w:rsidR="00E52611" w:rsidRPr="00E52611">
        <w:instrText xml:space="preserve"> ADDIN BA \xc &lt;@$cs&gt; \xl 7 \s QOQUYW000050 </w:instrText>
      </w:r>
      <w:r w:rsidR="00DF0559" w:rsidRPr="00E52611">
        <w:fldChar w:fldCharType="end"/>
      </w:r>
      <w:bookmarkStart w:id="114" w:name="_BA_Cite_226"/>
      <w:r w:rsidR="00670112" w:rsidRPr="00E52611">
        <w:rPr>
          <w:i/>
        </w:rPr>
        <w:t>Dempsey</w:t>
      </w:r>
      <w:bookmarkEnd w:id="114"/>
      <w:r w:rsidR="00670112" w:rsidRPr="00E52611">
        <w:t xml:space="preserve">, the </w:t>
      </w:r>
      <w:r w:rsidR="006864CB" w:rsidRPr="00E52611">
        <w:t>court</w:t>
      </w:r>
      <w:r w:rsidR="00670112" w:rsidRPr="00E52611">
        <w:t xml:space="preserve"> held that an appropriations bill de</w:t>
      </w:r>
      <w:r w:rsidR="00345A35" w:rsidRPr="00E52611">
        <w:t>nying organizations providing or promoting</w:t>
      </w:r>
      <w:r w:rsidR="00670112" w:rsidRPr="00E52611">
        <w:t xml:space="preserve"> abortions state</w:t>
      </w:r>
      <w:r w:rsidR="00856CF8" w:rsidRPr="00E52611">
        <w:t xml:space="preserve"> fun</w:t>
      </w:r>
      <w:r w:rsidR="00670112" w:rsidRPr="00E52611">
        <w:t xml:space="preserve">ds </w:t>
      </w:r>
      <w:r w:rsidR="0015259D" w:rsidRPr="00E52611">
        <w:t>was not</w:t>
      </w:r>
      <w:r w:rsidR="00670112" w:rsidRPr="00E52611">
        <w:t xml:space="preserve"> punishment. </w:t>
      </w:r>
      <w:r w:rsidR="00DF0559" w:rsidRPr="00E52611">
        <w:fldChar w:fldCharType="begin"/>
      </w:r>
      <w:r w:rsidR="00E52611" w:rsidRPr="00E52611">
        <w:instrText xml:space="preserve"> ADDIN BA \xc &lt;@$cs&gt; \xl 15 \s QOQUYW000050 \xhfl Rep </w:instrText>
      </w:r>
      <w:r w:rsidR="00DF0559" w:rsidRPr="00E52611">
        <w:fldChar w:fldCharType="end"/>
      </w:r>
      <w:r w:rsidR="004C3A14" w:rsidRPr="00E52611">
        <w:t xml:space="preserve">167 F.3d at 465. </w:t>
      </w:r>
      <w:r w:rsidR="00670112" w:rsidRPr="00E52611">
        <w:t xml:space="preserve">Key to the court’s decision was the fact that </w:t>
      </w:r>
      <w:r w:rsidR="001E3238">
        <w:t xml:space="preserve">plaintiff </w:t>
      </w:r>
      <w:r w:rsidR="00670112" w:rsidRPr="00E52611">
        <w:t xml:space="preserve">Planned Parenthood could qualify for family planning funds by “establishing an independent affiliate to perform abortion services.” </w:t>
      </w:r>
      <w:r w:rsidR="00DF0559" w:rsidRPr="00E52611">
        <w:fldChar w:fldCharType="begin"/>
      </w:r>
      <w:r w:rsidR="00E52611" w:rsidRPr="00E52611">
        <w:instrText xml:space="preserve"> ADDIN BA \xc &lt;@$id&gt; \xl 3 \s ID </w:instrText>
      </w:r>
      <w:r w:rsidR="00DF0559" w:rsidRPr="00E52611">
        <w:fldChar w:fldCharType="end"/>
      </w:r>
      <w:r w:rsidR="00670112" w:rsidRPr="00E52611">
        <w:rPr>
          <w:i/>
        </w:rPr>
        <w:t>Id.</w:t>
      </w:r>
      <w:r w:rsidR="00625551" w:rsidRPr="00E52611">
        <w:rPr>
          <w:i/>
        </w:rPr>
        <w:t xml:space="preserve"> </w:t>
      </w:r>
      <w:r w:rsidR="00625551" w:rsidRPr="00E52611">
        <w:t xml:space="preserve">But in </w:t>
      </w:r>
      <w:r w:rsidR="00DF0559" w:rsidRPr="00E52611">
        <w:fldChar w:fldCharType="begin"/>
      </w:r>
      <w:r w:rsidR="00E52611" w:rsidRPr="00E52611">
        <w:instrText xml:space="preserve"> ADDIN BA \xc &lt;@cs&gt; \xl 100 \s QOQUYW000051 \xhfl Rep \l "</w:instrText>
      </w:r>
      <w:r w:rsidR="00E52611" w:rsidRPr="00E52611">
        <w:rPr>
          <w:i/>
        </w:rPr>
        <w:instrText>Planned Parenthood of Central North Carolina v. Cansler</w:instrText>
      </w:r>
      <w:r w:rsidR="00E52611" w:rsidRPr="00E52611">
        <w:instrText xml:space="preserve">,&lt;SoftRt&gt; 804 F. Supp. 2d 482 (M.D.N.C. 2011)" </w:instrText>
      </w:r>
      <w:r w:rsidR="00DF0559" w:rsidRPr="00E52611">
        <w:fldChar w:fldCharType="end"/>
      </w:r>
      <w:bookmarkStart w:id="115" w:name="_BA_Cite_227"/>
      <w:r w:rsidR="00625551" w:rsidRPr="00E52611">
        <w:rPr>
          <w:i/>
        </w:rPr>
        <w:t>Planned Parenthood of Central North Carolina v. Cansler</w:t>
      </w:r>
      <w:r w:rsidR="00625551" w:rsidRPr="00E52611">
        <w:t xml:space="preserve">, </w:t>
      </w:r>
      <w:r w:rsidR="00EB400D" w:rsidRPr="00E52611">
        <w:t>804 F.</w:t>
      </w:r>
      <w:r w:rsidR="00393D9D" w:rsidRPr="00E52611">
        <w:t xml:space="preserve"> </w:t>
      </w:r>
      <w:r w:rsidR="00EB400D" w:rsidRPr="00E52611">
        <w:t>Supp.</w:t>
      </w:r>
      <w:r w:rsidR="000019CF" w:rsidRPr="00E52611">
        <w:t xml:space="preserve"> </w:t>
      </w:r>
      <w:r w:rsidR="00EB400D" w:rsidRPr="00E52611">
        <w:t>2d 482</w:t>
      </w:r>
      <w:r w:rsidR="00622E1C" w:rsidRPr="00E52611">
        <w:t>,</w:t>
      </w:r>
      <w:r w:rsidR="00EB400D" w:rsidRPr="00E52611">
        <w:t xml:space="preserve"> 495-96 (M.D.N.C. 2011)</w:t>
      </w:r>
      <w:bookmarkEnd w:id="115"/>
      <w:r w:rsidR="00EB400D" w:rsidRPr="00E52611">
        <w:t>,</w:t>
      </w:r>
      <w:r w:rsidR="00625551" w:rsidRPr="00E52611">
        <w:t xml:space="preserve"> the court held </w:t>
      </w:r>
      <w:r w:rsidR="009F7D26" w:rsidRPr="00E52611">
        <w:t xml:space="preserve">that </w:t>
      </w:r>
      <w:r w:rsidR="00622E1C" w:rsidRPr="00E52611">
        <w:t>a statute depriving state funding to</w:t>
      </w:r>
      <w:r w:rsidR="00625551" w:rsidRPr="00E52611">
        <w:t xml:space="preserve"> Planned Parenthood </w:t>
      </w:r>
      <w:r w:rsidR="00250152" w:rsidRPr="00E52611">
        <w:t>was punishment under the functional test</w:t>
      </w:r>
      <w:r w:rsidR="00625551" w:rsidRPr="00E52611">
        <w:t xml:space="preserve">. </w:t>
      </w:r>
      <w:r w:rsidR="00622E1C" w:rsidRPr="00E52611">
        <w:t>The c</w:t>
      </w:r>
      <w:r w:rsidR="00670112" w:rsidRPr="00E52611">
        <w:t xml:space="preserve">ourt </w:t>
      </w:r>
      <w:r w:rsidR="00670112" w:rsidRPr="00E52611">
        <w:lastRenderedPageBreak/>
        <w:t xml:space="preserve">distinguished </w:t>
      </w:r>
      <w:r w:rsidR="00DF0559" w:rsidRPr="00E52611">
        <w:fldChar w:fldCharType="begin"/>
      </w:r>
      <w:r w:rsidR="00E52611" w:rsidRPr="00E52611">
        <w:instrText xml:space="preserve"> ADDIN BA \xc &lt;@$cs&gt; \xl 7 \s QOQUYW000050 </w:instrText>
      </w:r>
      <w:r w:rsidR="00DF0559" w:rsidRPr="00E52611">
        <w:fldChar w:fldCharType="end"/>
      </w:r>
      <w:bookmarkStart w:id="116" w:name="_BA_Cite_228"/>
      <w:r w:rsidR="00670112" w:rsidRPr="00E52611">
        <w:rPr>
          <w:i/>
        </w:rPr>
        <w:t>Dempsey</w:t>
      </w:r>
      <w:bookmarkEnd w:id="116"/>
      <w:r w:rsidR="00670112" w:rsidRPr="00E52611">
        <w:rPr>
          <w:i/>
        </w:rPr>
        <w:t xml:space="preserve"> </w:t>
      </w:r>
      <w:r w:rsidR="00F975B1" w:rsidRPr="00E52611">
        <w:t>because</w:t>
      </w:r>
      <w:r w:rsidR="00540EE9" w:rsidRPr="00E52611">
        <w:t>,</w:t>
      </w:r>
      <w:r w:rsidR="00F975B1" w:rsidRPr="00E52611">
        <w:t xml:space="preserve"> unlike t</w:t>
      </w:r>
      <w:r w:rsidR="00853061" w:rsidRPr="00E52611">
        <w:t xml:space="preserve">he statute there, </w:t>
      </w:r>
      <w:r w:rsidR="00670112" w:rsidRPr="00E52611">
        <w:t xml:space="preserve">the </w:t>
      </w:r>
      <w:r w:rsidR="00E317CD" w:rsidRPr="00E52611">
        <w:t>provision in</w:t>
      </w:r>
      <w:r w:rsidR="00670112" w:rsidRPr="00E52611">
        <w:t xml:space="preserve"> </w:t>
      </w:r>
      <w:r w:rsidR="00DF0559" w:rsidRPr="00E52611">
        <w:fldChar w:fldCharType="begin"/>
      </w:r>
      <w:r w:rsidR="00E52611" w:rsidRPr="00E52611">
        <w:instrText xml:space="preserve"> ADDIN BA \xc &lt;@$cs&gt; \xl 7 \s QOQUYW000051 </w:instrText>
      </w:r>
      <w:r w:rsidR="00DF0559" w:rsidRPr="00E52611">
        <w:fldChar w:fldCharType="end"/>
      </w:r>
      <w:r w:rsidR="00670112" w:rsidRPr="00E52611">
        <w:rPr>
          <w:i/>
        </w:rPr>
        <w:t>Cansler</w:t>
      </w:r>
      <w:r w:rsidR="00930940" w:rsidRPr="00E52611">
        <w:rPr>
          <w:i/>
        </w:rPr>
        <w:t xml:space="preserve"> </w:t>
      </w:r>
      <w:r w:rsidR="00670112" w:rsidRPr="00E52611">
        <w:t xml:space="preserve">deprived </w:t>
      </w:r>
      <w:r w:rsidR="00622E1C" w:rsidRPr="00E52611">
        <w:t xml:space="preserve">plaintiff </w:t>
      </w:r>
      <w:r w:rsidR="00670112" w:rsidRPr="00E52611">
        <w:t xml:space="preserve">Planned Parenthood </w:t>
      </w:r>
      <w:r w:rsidR="00670112" w:rsidRPr="00E52611">
        <w:rPr>
          <w:i/>
        </w:rPr>
        <w:t xml:space="preserve">and its affiliates </w:t>
      </w:r>
      <w:r w:rsidR="009F7D26" w:rsidRPr="00E52611">
        <w:t xml:space="preserve">of </w:t>
      </w:r>
      <w:r w:rsidR="00755839" w:rsidRPr="00E52611">
        <w:t xml:space="preserve">any opportunity </w:t>
      </w:r>
      <w:r w:rsidR="00622E1C" w:rsidRPr="00E52611">
        <w:t>to receive</w:t>
      </w:r>
      <w:r w:rsidR="00670112" w:rsidRPr="00E52611">
        <w:t xml:space="preserve"> government fund</w:t>
      </w:r>
      <w:r w:rsidR="00755839" w:rsidRPr="00E52611">
        <w:t>s</w:t>
      </w:r>
      <w:r w:rsidR="00670112" w:rsidRPr="00E52611">
        <w:t xml:space="preserve">. </w:t>
      </w:r>
      <w:r w:rsidR="00DF0559" w:rsidRPr="00E52611">
        <w:fldChar w:fldCharType="begin"/>
      </w:r>
      <w:r w:rsidR="00E52611" w:rsidRPr="00E52611">
        <w:instrText xml:space="preserve"> ADDIN BA \xc &lt;@$id&gt; \xl 3 \s ID </w:instrText>
      </w:r>
      <w:r w:rsidR="00DF0559" w:rsidRPr="00E52611">
        <w:fldChar w:fldCharType="end"/>
      </w:r>
      <w:r w:rsidR="00622E1C" w:rsidRPr="00E52611">
        <w:rPr>
          <w:i/>
        </w:rPr>
        <w:t xml:space="preserve">Id. </w:t>
      </w:r>
    </w:p>
    <w:p w:rsidR="00670112" w:rsidRPr="00E52611" w:rsidRDefault="00670112" w:rsidP="00762884">
      <w:pPr>
        <w:pStyle w:val="ListParagraph"/>
        <w:spacing w:line="480" w:lineRule="auto"/>
        <w:ind w:left="0"/>
      </w:pPr>
      <w:r w:rsidRPr="00E52611">
        <w:tab/>
      </w:r>
      <w:r w:rsidR="00384D25" w:rsidRPr="00E52611">
        <w:t>As with</w:t>
      </w:r>
      <w:r w:rsidR="00C873B9" w:rsidRPr="00E52611">
        <w:t xml:space="preserve"> the </w:t>
      </w:r>
      <w:r w:rsidR="006864CB" w:rsidRPr="00E52611">
        <w:t xml:space="preserve">bill </w:t>
      </w:r>
      <w:r w:rsidR="00C873B9" w:rsidRPr="00E52611">
        <w:t>in</w:t>
      </w:r>
      <w:r w:rsidR="009540E8" w:rsidRPr="00E52611">
        <w:t xml:space="preserve"> </w:t>
      </w:r>
      <w:r w:rsidR="00DF0559" w:rsidRPr="00E52611">
        <w:fldChar w:fldCharType="begin"/>
      </w:r>
      <w:r w:rsidR="00E52611" w:rsidRPr="00E52611">
        <w:instrText xml:space="preserve"> ADDIN BA \xc &lt;@$cs&gt; \xl 7 \s QOQUYW000051 </w:instrText>
      </w:r>
      <w:r w:rsidR="00DF0559" w:rsidRPr="00E52611">
        <w:fldChar w:fldCharType="end"/>
      </w:r>
      <w:r w:rsidR="009540E8" w:rsidRPr="00E52611">
        <w:rPr>
          <w:i/>
        </w:rPr>
        <w:t>Cansler</w:t>
      </w:r>
      <w:r w:rsidR="004B5DE4" w:rsidRPr="00E52611">
        <w:t>, the a</w:t>
      </w:r>
      <w:r w:rsidR="009540E8" w:rsidRPr="00E52611">
        <w:t xml:space="preserve">ppropriations </w:t>
      </w:r>
      <w:r w:rsidR="004B5DE4" w:rsidRPr="00E52611">
        <w:t>l</w:t>
      </w:r>
      <w:r w:rsidR="00255487" w:rsidRPr="00E52611">
        <w:t>aws</w:t>
      </w:r>
      <w:r w:rsidR="009540E8" w:rsidRPr="00E52611">
        <w:t xml:space="preserve"> deprive ACORN </w:t>
      </w:r>
      <w:r w:rsidR="009540E8" w:rsidRPr="00E52611">
        <w:rPr>
          <w:i/>
        </w:rPr>
        <w:t xml:space="preserve">and its affiliates </w:t>
      </w:r>
      <w:r w:rsidR="001E3238">
        <w:t xml:space="preserve">of </w:t>
      </w:r>
      <w:r w:rsidR="009540E8" w:rsidRPr="00E52611">
        <w:t xml:space="preserve">government funding. </w:t>
      </w:r>
      <w:r w:rsidR="00DF0559" w:rsidRPr="00E52611">
        <w:fldChar w:fldCharType="begin"/>
      </w:r>
      <w:r w:rsidR="00E52611" w:rsidRPr="00E52611">
        <w:instrText xml:space="preserve"> ADDIN BA \xc &lt;@$cs&gt; \xl 25 \s QOQUYW000051 \xhfl Rep </w:instrText>
      </w:r>
      <w:r w:rsidR="00DF0559" w:rsidRPr="00E52611">
        <w:fldChar w:fldCharType="end"/>
      </w:r>
      <w:r w:rsidR="00393D9D" w:rsidRPr="00E52611">
        <w:t>804 F. Supp. 2d at 495-96</w:t>
      </w:r>
      <w:r w:rsidR="00384D25" w:rsidRPr="00E52611">
        <w:t xml:space="preserve">. </w:t>
      </w:r>
      <w:r w:rsidR="00C354D7" w:rsidRPr="00E52611">
        <w:t xml:space="preserve">At one point ACORN had 200 affiliated organizations engaged in a range of activities. </w:t>
      </w:r>
      <w:r w:rsidR="00DF0559" w:rsidRPr="00E52611">
        <w:fldChar w:fldCharType="begin"/>
      </w:r>
      <w:r w:rsidR="00E52611" w:rsidRPr="00E52611">
        <w:instrText xml:space="preserve"> ADDIN BA \xc &lt;@$rec&gt; \xl 9 \s QOQUYW000069 \xpl 1 </w:instrText>
      </w:r>
      <w:r w:rsidR="00DF0559" w:rsidRPr="00E52611">
        <w:fldChar w:fldCharType="end"/>
      </w:r>
      <w:bookmarkStart w:id="117" w:name="_BA_Cite_229"/>
      <w:r w:rsidR="00384D25" w:rsidRPr="00E52611">
        <w:t>(R. at 7)</w:t>
      </w:r>
      <w:bookmarkEnd w:id="117"/>
      <w:r w:rsidR="00384D25" w:rsidRPr="00E52611">
        <w:t xml:space="preserve">. </w:t>
      </w:r>
      <w:r w:rsidR="00190D8E" w:rsidRPr="00E52611">
        <w:t>Evidence from the Over</w:t>
      </w:r>
      <w:r w:rsidR="00C92496" w:rsidRPr="00E52611">
        <w:t xml:space="preserve">sight Committee reports and </w:t>
      </w:r>
      <w:r w:rsidR="00F23C73" w:rsidRPr="00E52611">
        <w:t>House and Senate debates</w:t>
      </w:r>
      <w:r w:rsidR="00190D8E" w:rsidRPr="00E52611">
        <w:t xml:space="preserve"> demonstrate</w:t>
      </w:r>
      <w:r w:rsidR="00C92496" w:rsidRPr="00E52611">
        <w:t>s</w:t>
      </w:r>
      <w:r w:rsidR="00190D8E" w:rsidRPr="00E52611">
        <w:t xml:space="preserve"> that Congress was chief</w:t>
      </w:r>
      <w:r w:rsidR="00904603" w:rsidRPr="00E52611">
        <w:t xml:space="preserve">ly concerned with </w:t>
      </w:r>
      <w:r w:rsidR="002E787B" w:rsidRPr="00E52611">
        <w:t xml:space="preserve">misuse of federal funds associated with </w:t>
      </w:r>
      <w:r w:rsidR="00650E40" w:rsidRPr="00E52611">
        <w:t xml:space="preserve">ACORN’s voter </w:t>
      </w:r>
      <w:r w:rsidR="00190D8E" w:rsidRPr="00E52611">
        <w:t>registration efforts.</w:t>
      </w:r>
      <w:r w:rsidR="006357F8" w:rsidRPr="00E52611">
        <w:t xml:space="preserve"> </w:t>
      </w:r>
      <w:r w:rsidR="003C68B8" w:rsidRPr="00E52611">
        <w:rPr>
          <w:i/>
        </w:rPr>
        <w:t xml:space="preserve">See, e.g., </w:t>
      </w:r>
      <w:r w:rsidR="00DF0559" w:rsidRPr="00E52611">
        <w:fldChar w:fldCharType="begin"/>
      </w:r>
      <w:r w:rsidR="00E52611" w:rsidRPr="00E52611">
        <w:instrText xml:space="preserve"> ADDIN BA \xc &lt;@$leg&gt; \xl 30 \s QOQUYW000008 </w:instrText>
      </w:r>
      <w:r w:rsidR="00DF0559" w:rsidRPr="00E52611">
        <w:fldChar w:fldCharType="end"/>
      </w:r>
      <w:bookmarkStart w:id="118" w:name="_BA_Cite_230"/>
      <w:r w:rsidR="006357F8" w:rsidRPr="00E52611">
        <w:t>155 Cong. Rec. at H9946, H9948</w:t>
      </w:r>
      <w:bookmarkEnd w:id="118"/>
      <w:r w:rsidR="006357F8" w:rsidRPr="00E52611">
        <w:t>.</w:t>
      </w:r>
      <w:r w:rsidR="00190D8E" w:rsidRPr="00E52611">
        <w:t xml:space="preserve"> </w:t>
      </w:r>
      <w:r w:rsidRPr="00E52611">
        <w:t xml:space="preserve">But </w:t>
      </w:r>
      <w:r w:rsidR="00384D25" w:rsidRPr="00E52611">
        <w:t xml:space="preserve">none of ACORN’s numerous affiliates could overcome the funding ban, even if they were engaged in activities wholly unrelated to voter registration. </w:t>
      </w:r>
      <w:r w:rsidR="00FE696D" w:rsidRPr="00E52611">
        <w:t xml:space="preserve"> </w:t>
      </w:r>
      <w:r w:rsidRPr="00E52611">
        <w:t xml:space="preserve"> </w:t>
      </w:r>
    </w:p>
    <w:p w:rsidR="0003385C" w:rsidRPr="00E52611" w:rsidRDefault="00C5101B" w:rsidP="00C5101B">
      <w:pPr>
        <w:pStyle w:val="Heading5"/>
        <w:spacing w:line="480" w:lineRule="auto"/>
        <w:ind w:left="2160"/>
        <w:rPr>
          <w:i/>
        </w:rPr>
      </w:pPr>
      <w:r w:rsidRPr="00E52611">
        <w:t>b.</w:t>
      </w:r>
      <w:r w:rsidRPr="00E52611">
        <w:rPr>
          <w:i/>
        </w:rPr>
        <w:tab/>
      </w:r>
      <w:r w:rsidR="00C83257" w:rsidRPr="00E52611">
        <w:rPr>
          <w:i/>
        </w:rPr>
        <w:t>Requirements</w:t>
      </w:r>
      <w:r w:rsidR="00D632F3" w:rsidRPr="00E52611">
        <w:rPr>
          <w:i/>
        </w:rPr>
        <w:tab/>
      </w:r>
    </w:p>
    <w:p w:rsidR="002238B7" w:rsidRPr="00E52611" w:rsidRDefault="005A5C8E" w:rsidP="00762884">
      <w:pPr>
        <w:spacing w:line="480" w:lineRule="auto"/>
      </w:pPr>
      <w:r w:rsidRPr="00E52611">
        <w:rPr>
          <w:b/>
        </w:rPr>
        <w:tab/>
      </w:r>
      <w:r w:rsidRPr="00E52611">
        <w:t xml:space="preserve">Statutes that do not impose </w:t>
      </w:r>
      <w:r w:rsidR="002238B7" w:rsidRPr="00E52611">
        <w:t xml:space="preserve">an insurmountable bar on a certain right or privilege but </w:t>
      </w:r>
      <w:r w:rsidR="00042F95" w:rsidRPr="00E52611">
        <w:t>instead</w:t>
      </w:r>
      <w:r w:rsidR="002238B7" w:rsidRPr="00E52611">
        <w:t xml:space="preserve"> outline requirements for obtaining the privilege do not constitute punishment</w:t>
      </w:r>
      <w:r w:rsidRPr="00E52611">
        <w:t xml:space="preserve">. </w:t>
      </w:r>
      <w:r w:rsidR="00DF0559" w:rsidRPr="00E52611">
        <w:fldChar w:fldCharType="begin"/>
      </w:r>
      <w:r w:rsidR="00E52611" w:rsidRPr="00E52611">
        <w:instrText xml:space="preserve"> ADDIN BA \xc &lt;@$cs&gt; \xl 17 \s QOQUYW000023 \xhfl Rep </w:instrText>
      </w:r>
      <w:r w:rsidR="00DF0559" w:rsidRPr="00E52611">
        <w:fldChar w:fldCharType="end"/>
      </w:r>
      <w:r w:rsidR="000B47FF" w:rsidRPr="00E52611">
        <w:rPr>
          <w:i/>
        </w:rPr>
        <w:t>SBC</w:t>
      </w:r>
      <w:r w:rsidR="000B47FF" w:rsidRPr="00E52611">
        <w:t xml:space="preserve">, 154 F.3d 226. </w:t>
      </w:r>
    </w:p>
    <w:p w:rsidR="00B8077A" w:rsidRPr="00E52611" w:rsidRDefault="002238B7" w:rsidP="00762884">
      <w:pPr>
        <w:spacing w:line="480" w:lineRule="auto"/>
      </w:pPr>
      <w:r w:rsidRPr="00E52611">
        <w:tab/>
      </w:r>
      <w:r w:rsidR="00FE0E5F" w:rsidRPr="00E52611">
        <w:t xml:space="preserve">As mentioned above, Congress </w:t>
      </w:r>
      <w:r w:rsidR="006864CB" w:rsidRPr="00E52611">
        <w:t>and</w:t>
      </w:r>
      <w:r w:rsidR="00FE0E5F" w:rsidRPr="00E52611">
        <w:t xml:space="preserve"> state legislature</w:t>
      </w:r>
      <w:r w:rsidR="006864CB" w:rsidRPr="00E52611">
        <w:t>s</w:t>
      </w:r>
      <w:r w:rsidR="00FE0E5F" w:rsidRPr="00E52611">
        <w:t xml:space="preserve"> </w:t>
      </w:r>
      <w:r w:rsidR="004C41B7" w:rsidRPr="00E52611">
        <w:t xml:space="preserve">often </w:t>
      </w:r>
      <w:r w:rsidR="00FE0E5F" w:rsidRPr="00E52611">
        <w:t>set forth certain requirements for employment that</w:t>
      </w:r>
      <w:r w:rsidR="004C41B7" w:rsidRPr="00E52611">
        <w:t>,</w:t>
      </w:r>
      <w:r w:rsidR="00FE0E5F" w:rsidRPr="00E52611">
        <w:t xml:space="preserve"> once achieved</w:t>
      </w:r>
      <w:r w:rsidR="004C41B7" w:rsidRPr="00E52611">
        <w:t>, allow</w:t>
      </w:r>
      <w:r w:rsidR="00FE0E5F" w:rsidRPr="00E52611">
        <w:t xml:space="preserve"> persons or corporations </w:t>
      </w:r>
      <w:r w:rsidR="00506A42" w:rsidRPr="00E52611">
        <w:t xml:space="preserve">to participate in their </w:t>
      </w:r>
      <w:r w:rsidR="00EB1EAA" w:rsidRPr="00E52611">
        <w:t xml:space="preserve">desired </w:t>
      </w:r>
      <w:r w:rsidR="00FE0E5F" w:rsidRPr="00E52611">
        <w:t xml:space="preserve">vocations. </w:t>
      </w:r>
      <w:r w:rsidR="002A525C" w:rsidRPr="00E52611">
        <w:rPr>
          <w:i/>
        </w:rPr>
        <w:t xml:space="preserve">See, e.g., </w:t>
      </w:r>
      <w:r w:rsidR="00DF0559" w:rsidRPr="00E52611">
        <w:fldChar w:fldCharType="begin"/>
      </w:r>
      <w:r w:rsidR="00E52611" w:rsidRPr="00E52611">
        <w:instrText xml:space="preserve"> ADDIN BA \xc &lt;@$cs&gt; \xl 23 \s QOQUYW000023 \xhfl Rep </w:instrText>
      </w:r>
      <w:r w:rsidR="00DF0559" w:rsidRPr="00E52611">
        <w:fldChar w:fldCharType="end"/>
      </w:r>
      <w:r w:rsidR="002A525C" w:rsidRPr="00E52611">
        <w:rPr>
          <w:i/>
        </w:rPr>
        <w:t>SBC</w:t>
      </w:r>
      <w:r w:rsidR="006864CB" w:rsidRPr="00E52611">
        <w:t xml:space="preserve">, 154 F.3d at 242-43. </w:t>
      </w:r>
      <w:r w:rsidR="006E6A1D" w:rsidRPr="00E52611">
        <w:t xml:space="preserve">This is true for bills related to other </w:t>
      </w:r>
      <w:r w:rsidR="006864CB" w:rsidRPr="00E52611">
        <w:t>privileges</w:t>
      </w:r>
      <w:r w:rsidR="008E5336" w:rsidRPr="00E52611">
        <w:t xml:space="preserve"> as well</w:t>
      </w:r>
      <w:r w:rsidR="006E6A1D" w:rsidRPr="00E52611">
        <w:t xml:space="preserve">. </w:t>
      </w:r>
      <w:r w:rsidR="007C17C0" w:rsidRPr="00E52611">
        <w:t xml:space="preserve">For example, in </w:t>
      </w:r>
      <w:r w:rsidR="0014088C" w:rsidRPr="00E52611">
        <w:rPr>
          <w:i/>
        </w:rPr>
        <w:t>Selective Service Sys</w:t>
      </w:r>
      <w:r w:rsidR="006864CB" w:rsidRPr="00E52611">
        <w:rPr>
          <w:i/>
        </w:rPr>
        <w:t>tems</w:t>
      </w:r>
      <w:r w:rsidR="006864CB" w:rsidRPr="00E52611">
        <w:t>,</w:t>
      </w:r>
      <w:r w:rsidR="00EF67BE" w:rsidRPr="00E52611">
        <w:t xml:space="preserve"> the fact</w:t>
      </w:r>
      <w:r w:rsidR="007B6026" w:rsidRPr="00E52611">
        <w:t xml:space="preserve"> </w:t>
      </w:r>
      <w:r w:rsidR="00187B56" w:rsidRPr="00E52611">
        <w:t>t</w:t>
      </w:r>
      <w:r w:rsidR="007B6026" w:rsidRPr="00E52611">
        <w:t xml:space="preserve">hose who failed to register for </w:t>
      </w:r>
      <w:r w:rsidR="007B6026" w:rsidRPr="00E52611">
        <w:lastRenderedPageBreak/>
        <w:t>the draft could</w:t>
      </w:r>
      <w:r w:rsidR="00187B56" w:rsidRPr="00E52611">
        <w:t xml:space="preserve"> overcome the ban on federal financial aid by</w:t>
      </w:r>
      <w:r w:rsidR="006864CB" w:rsidRPr="00E52611">
        <w:t xml:space="preserve"> registering late militated against the Court finding attainder. </w:t>
      </w:r>
      <w:r w:rsidR="00DF0559" w:rsidRPr="00E52611">
        <w:fldChar w:fldCharType="begin"/>
      </w:r>
      <w:r w:rsidR="00E52611" w:rsidRPr="00E52611">
        <w:instrText xml:space="preserve"> ADDIN BA \xc &lt;@$cs&gt; \xl 15 \s QOQUYW000017 \xhfl Rep </w:instrText>
      </w:r>
      <w:r w:rsidR="00DF0559" w:rsidRPr="00E52611">
        <w:fldChar w:fldCharType="end"/>
      </w:r>
      <w:r w:rsidR="006864CB" w:rsidRPr="00E52611">
        <w:t xml:space="preserve">468 U.S. at 853. </w:t>
      </w:r>
      <w:r w:rsidR="0014088C" w:rsidRPr="00E52611">
        <w:t xml:space="preserve"> </w:t>
      </w:r>
    </w:p>
    <w:p w:rsidR="009E2738" w:rsidRPr="00E52611" w:rsidRDefault="00C414C0" w:rsidP="00762884">
      <w:pPr>
        <w:pStyle w:val="ListParagraph"/>
        <w:spacing w:line="480" w:lineRule="auto"/>
        <w:ind w:left="0" w:firstLine="720"/>
      </w:pPr>
      <w:r w:rsidRPr="00E52611">
        <w:t>The appropriations l</w:t>
      </w:r>
      <w:r w:rsidR="009E2738" w:rsidRPr="00E52611">
        <w:t xml:space="preserve">aws are inescapable. The district court held that the “unavailability of any means for ACORN to overcome the funding ban if the [GAO] investigation report is favorable underscores the lack of a connection between the burdens of the statute and Congress’ [sic] purpose in enacting it.” </w:t>
      </w:r>
      <w:r w:rsidR="00DF0559" w:rsidRPr="00E52611">
        <w:fldChar w:fldCharType="begin"/>
      </w:r>
      <w:r w:rsidR="00E52611" w:rsidRPr="00E52611">
        <w:instrText xml:space="preserve"> ADDIN BA \xc &lt;@rec&gt; \xl 10 \s QOQUYW000091 \xpl 1 \l "(R. at 39)" </w:instrText>
      </w:r>
      <w:r w:rsidR="00DF0559" w:rsidRPr="00E52611">
        <w:fldChar w:fldCharType="end"/>
      </w:r>
      <w:bookmarkStart w:id="119" w:name="_BA_Cite_231"/>
      <w:r w:rsidR="009E2738" w:rsidRPr="00E52611">
        <w:t xml:space="preserve">(R. at </w:t>
      </w:r>
      <w:r w:rsidR="00025A53" w:rsidRPr="00E52611">
        <w:t>39)</w:t>
      </w:r>
      <w:bookmarkEnd w:id="119"/>
      <w:r w:rsidR="00025A53" w:rsidRPr="00E52611">
        <w:t xml:space="preserve">. </w:t>
      </w:r>
      <w:r w:rsidR="009E2738" w:rsidRPr="00E52611">
        <w:t xml:space="preserve">Two government </w:t>
      </w:r>
      <w:r w:rsidR="00F32070" w:rsidRPr="00E52611">
        <w:t>bodies</w:t>
      </w:r>
      <w:r w:rsidR="009E2738" w:rsidRPr="00E52611">
        <w:t xml:space="preserve">, the </w:t>
      </w:r>
      <w:r w:rsidR="007170F6" w:rsidRPr="00E52611">
        <w:t xml:space="preserve">GAO and </w:t>
      </w:r>
      <w:r w:rsidR="009E2738" w:rsidRPr="00E52611">
        <w:t xml:space="preserve">the </w:t>
      </w:r>
      <w:r w:rsidR="00025A53" w:rsidRPr="00E52611">
        <w:t>CRS</w:t>
      </w:r>
      <w:r w:rsidR="00DF4340" w:rsidRPr="00E52611">
        <w:t>,</w:t>
      </w:r>
      <w:r w:rsidR="009E2738" w:rsidRPr="00E52611">
        <w:t xml:space="preserve"> were tasked with researching a number of </w:t>
      </w:r>
      <w:r w:rsidR="0055315F" w:rsidRPr="00E52611">
        <w:t>ACORN’s alleged wrongdoings,</w:t>
      </w:r>
      <w:r w:rsidR="009E2738" w:rsidRPr="00E52611">
        <w:t xml:space="preserve"> including its use</w:t>
      </w:r>
      <w:r w:rsidR="004C41B7" w:rsidRPr="00E52611">
        <w:t xml:space="preserve"> of government funds, the video</w:t>
      </w:r>
      <w:r w:rsidR="009E2738" w:rsidRPr="00E52611">
        <w:t xml:space="preserve">tape scandal, and voter </w:t>
      </w:r>
      <w:r w:rsidR="00025A53" w:rsidRPr="00E52611">
        <w:t xml:space="preserve">registration </w:t>
      </w:r>
      <w:r w:rsidR="009E2738" w:rsidRPr="00E52611">
        <w:t>fraud.</w:t>
      </w:r>
      <w:r w:rsidR="004C3EBB" w:rsidRPr="00E52611">
        <w:t xml:space="preserve"> Both reports largely exonerate</w:t>
      </w:r>
      <w:r w:rsidR="001E3B6D" w:rsidRPr="00E52611">
        <w:t>d</w:t>
      </w:r>
      <w:r w:rsidR="009E2738" w:rsidRPr="00E52611">
        <w:t xml:space="preserve"> ACORN and its affiliates. </w:t>
      </w:r>
      <w:r w:rsidR="00025A53" w:rsidRPr="00E52611">
        <w:rPr>
          <w:i/>
        </w:rPr>
        <w:t xml:space="preserve">See </w:t>
      </w:r>
      <w:r w:rsidR="00025A53" w:rsidRPr="00E52611">
        <w:t xml:space="preserve">GAO Report at 6; </w:t>
      </w:r>
      <w:r w:rsidR="00DF0559" w:rsidRPr="00E52611">
        <w:fldChar w:fldCharType="begin"/>
      </w:r>
      <w:r w:rsidR="00E52611" w:rsidRPr="00E52611">
        <w:instrText xml:space="preserve"> ADDIN BA \xc &lt;@$reg&gt; \xl 19 \s QOQUYW000012 </w:instrText>
      </w:r>
      <w:r w:rsidR="00DF0559" w:rsidRPr="00E52611">
        <w:fldChar w:fldCharType="end"/>
      </w:r>
      <w:bookmarkStart w:id="120" w:name="_BA_Cite_232"/>
      <w:r w:rsidR="00025A53" w:rsidRPr="00E52611">
        <w:t>CRS ACORN Memo at 1</w:t>
      </w:r>
      <w:bookmarkEnd w:id="120"/>
      <w:r w:rsidR="00025A53" w:rsidRPr="00E52611">
        <w:t>.</w:t>
      </w:r>
      <w:r w:rsidR="004C3EBB" w:rsidRPr="00E52611">
        <w:rPr>
          <w:i/>
        </w:rPr>
        <w:t xml:space="preserve"> </w:t>
      </w:r>
      <w:r w:rsidR="009E2738" w:rsidRPr="00E52611">
        <w:t>Yet Congress left ACORN no “out clause.”</w:t>
      </w:r>
      <w:r w:rsidR="007B08F6" w:rsidRPr="00E52611">
        <w:t xml:space="preserve"> </w:t>
      </w:r>
      <w:r w:rsidR="004C41B7" w:rsidRPr="00E52611">
        <w:t>Hence, t</w:t>
      </w:r>
      <w:r w:rsidR="000B6F23" w:rsidRPr="00E52611">
        <w:t>he</w:t>
      </w:r>
      <w:r w:rsidR="00DF4340" w:rsidRPr="00E52611">
        <w:t xml:space="preserve"> appropriations l</w:t>
      </w:r>
      <w:r w:rsidR="00A32254" w:rsidRPr="00E52611">
        <w:t xml:space="preserve">aws stand in contrast to the statutory and regulatory requirements at issue in </w:t>
      </w:r>
      <w:r w:rsidR="00DF0559" w:rsidRPr="00E52611">
        <w:fldChar w:fldCharType="begin"/>
      </w:r>
      <w:r w:rsidR="00E52611" w:rsidRPr="00E52611">
        <w:instrText xml:space="preserve"> ADDIN BA \xc &lt;@$cs&gt; \xl 3 \s QOQUYW000023 </w:instrText>
      </w:r>
      <w:r w:rsidR="00DF0559" w:rsidRPr="00E52611">
        <w:fldChar w:fldCharType="end"/>
      </w:r>
      <w:r w:rsidR="00A32254" w:rsidRPr="00E52611">
        <w:rPr>
          <w:i/>
        </w:rPr>
        <w:t>SBC</w:t>
      </w:r>
      <w:r w:rsidR="007B08F6" w:rsidRPr="00E52611">
        <w:rPr>
          <w:i/>
        </w:rPr>
        <w:t xml:space="preserve"> </w:t>
      </w:r>
      <w:r w:rsidR="007B08F6" w:rsidRPr="00E52611">
        <w:t xml:space="preserve">and </w:t>
      </w:r>
      <w:r w:rsidR="007B08F6" w:rsidRPr="00E52611">
        <w:rPr>
          <w:i/>
        </w:rPr>
        <w:t>Selective Service Systems</w:t>
      </w:r>
      <w:r w:rsidR="00912981" w:rsidRPr="00E52611">
        <w:rPr>
          <w:i/>
        </w:rPr>
        <w:t xml:space="preserve"> </w:t>
      </w:r>
      <w:r w:rsidR="000B6F23" w:rsidRPr="00E52611">
        <w:t>because the l</w:t>
      </w:r>
      <w:r w:rsidR="00912981" w:rsidRPr="00E52611">
        <w:t xml:space="preserve">aws do not provide </w:t>
      </w:r>
      <w:r w:rsidR="009E2738" w:rsidRPr="00E52611">
        <w:t xml:space="preserve">ACORN an opportunity to obtain federal funds </w:t>
      </w:r>
      <w:r w:rsidR="00960D03" w:rsidRPr="00E52611">
        <w:t>by complying with certain statutory requirements</w:t>
      </w:r>
      <w:r w:rsidR="00912981" w:rsidRPr="00E52611">
        <w:rPr>
          <w:i/>
        </w:rPr>
        <w:t xml:space="preserve">. </w:t>
      </w:r>
      <w:r w:rsidR="002D48E6" w:rsidRPr="00E52611">
        <w:rPr>
          <w:i/>
        </w:rPr>
        <w:t xml:space="preserve">See </w:t>
      </w:r>
      <w:r w:rsidR="00DF0559" w:rsidRPr="00E52611">
        <w:fldChar w:fldCharType="begin"/>
      </w:r>
      <w:r w:rsidR="00E52611" w:rsidRPr="00E52611">
        <w:instrText xml:space="preserve"> ADDIN BA \xc &lt;@$cs&gt; \xl 18 \s QOQUYW000023 \xhfl Rep </w:instrText>
      </w:r>
      <w:r w:rsidR="00DF0559" w:rsidRPr="00E52611">
        <w:fldChar w:fldCharType="end"/>
      </w:r>
      <w:r w:rsidR="001C2844" w:rsidRPr="00E52611">
        <w:t xml:space="preserve">154 F.3d at 242-43; </w:t>
      </w:r>
      <w:r w:rsidR="00DF0559" w:rsidRPr="00E52611">
        <w:fldChar w:fldCharType="begin"/>
      </w:r>
      <w:r w:rsidR="00E52611" w:rsidRPr="00E52611">
        <w:instrText xml:space="preserve"> ADDIN BA \xc &lt;@$cs&gt; \xl 15 \s QOQUYW000017 \xhfl Rep </w:instrText>
      </w:r>
      <w:r w:rsidR="00DF0559" w:rsidRPr="00E52611">
        <w:fldChar w:fldCharType="end"/>
      </w:r>
      <w:r w:rsidR="00AF020D" w:rsidRPr="00E52611">
        <w:t>468 U.S. at 853.</w:t>
      </w:r>
    </w:p>
    <w:p w:rsidR="0052227A" w:rsidRPr="00E52611" w:rsidRDefault="009E2738" w:rsidP="00762884">
      <w:pPr>
        <w:spacing w:line="480" w:lineRule="auto"/>
      </w:pPr>
      <w:r w:rsidRPr="00E52611">
        <w:tab/>
      </w:r>
      <w:r w:rsidR="0052227A" w:rsidRPr="00E52611">
        <w:t xml:space="preserve">In the proceedings below, Defendants argued that because the appropriations laws are presumably temporary (ie, the bills only proscribe </w:t>
      </w:r>
      <w:r w:rsidR="00D86BF7" w:rsidRPr="00E52611">
        <w:t>allocating</w:t>
      </w:r>
      <w:r w:rsidR="00CC12C1" w:rsidRPr="00E52611">
        <w:t xml:space="preserve"> </w:t>
      </w:r>
      <w:r w:rsidR="0052227A" w:rsidRPr="00E52611">
        <w:t xml:space="preserve">government funds </w:t>
      </w:r>
      <w:r w:rsidR="00CC12C1" w:rsidRPr="00E52611">
        <w:t>to ACORN</w:t>
      </w:r>
      <w:r w:rsidR="0052227A" w:rsidRPr="00E52611">
        <w:t xml:space="preserve"> for one fiscal year</w:t>
      </w:r>
      <w:r w:rsidR="004C41B7" w:rsidRPr="00E52611">
        <w:t>), they are not punitive</w:t>
      </w:r>
      <w:r w:rsidR="0052227A" w:rsidRPr="00E52611">
        <w:t xml:space="preserve">. </w:t>
      </w:r>
      <w:r w:rsidR="00DF0559" w:rsidRPr="00E52611">
        <w:fldChar w:fldCharType="begin"/>
      </w:r>
      <w:r w:rsidR="00E52611" w:rsidRPr="00E52611">
        <w:instrText xml:space="preserve"> ADDIN BA \xc &lt;@$rec&gt; \xl 10 \s QOQUYW000091 \xpl 1 </w:instrText>
      </w:r>
      <w:r w:rsidR="00DF0559" w:rsidRPr="00E52611">
        <w:fldChar w:fldCharType="end"/>
      </w:r>
      <w:r w:rsidR="00773BB2" w:rsidRPr="00E52611">
        <w:t>(R. at 39).</w:t>
      </w:r>
      <w:r w:rsidR="0052227A" w:rsidRPr="00E52611">
        <w:t xml:space="preserve"> </w:t>
      </w:r>
      <w:r w:rsidR="00491D47" w:rsidRPr="00E52611">
        <w:t>This is wrong for three</w:t>
      </w:r>
      <w:r w:rsidR="005F1C46" w:rsidRPr="00E52611">
        <w:t xml:space="preserve"> reasons. First, as the district court noted</w:t>
      </w:r>
      <w:r w:rsidR="007443B6" w:rsidRPr="00E52611">
        <w:t>,</w:t>
      </w:r>
      <w:r w:rsidR="005F1C46" w:rsidRPr="00E52611">
        <w:t xml:space="preserve"> “ACORN is permanently deprived of the opportunity to apply for Fiscal Year 2010 funding. This may affect multi-year grants</w:t>
      </w:r>
      <w:r w:rsidR="00BC081B" w:rsidRPr="00E52611">
        <w:t>[.]”</w:t>
      </w:r>
      <w:r w:rsidR="005F1C46" w:rsidRPr="00E52611">
        <w:t xml:space="preserve"> </w:t>
      </w:r>
      <w:r w:rsidR="00DF0559" w:rsidRPr="00E52611">
        <w:fldChar w:fldCharType="begin"/>
      </w:r>
      <w:r w:rsidR="00E52611" w:rsidRPr="00E52611">
        <w:instrText xml:space="preserve"> ADDIN BA \xc &lt;@rec&gt; \xl 10 \s QOQUYW000092 \xpl 1 \l "(R. at 38)" </w:instrText>
      </w:r>
      <w:r w:rsidR="00DF0559" w:rsidRPr="00E52611">
        <w:fldChar w:fldCharType="end"/>
      </w:r>
      <w:bookmarkStart w:id="121" w:name="_BA_Cite_233"/>
      <w:r w:rsidR="00BC081B" w:rsidRPr="00E52611">
        <w:t>(R. at 38)</w:t>
      </w:r>
      <w:bookmarkEnd w:id="121"/>
      <w:r w:rsidR="00BC081B" w:rsidRPr="00E52611">
        <w:t>.</w:t>
      </w:r>
      <w:r w:rsidR="005F1C46" w:rsidRPr="00E52611">
        <w:t xml:space="preserve"> </w:t>
      </w:r>
      <w:r w:rsidR="005F1C46" w:rsidRPr="00E52611">
        <w:lastRenderedPageBreak/>
        <w:t>Second, the very natu</w:t>
      </w:r>
      <w:r w:rsidR="003069BD" w:rsidRPr="00E52611">
        <w:t>re</w:t>
      </w:r>
      <w:r w:rsidR="009E6F04" w:rsidRPr="00E52611">
        <w:t xml:space="preserve"> of</w:t>
      </w:r>
      <w:r w:rsidR="003069BD" w:rsidRPr="00E52611">
        <w:t xml:space="preserve"> </w:t>
      </w:r>
      <w:r w:rsidR="00BC081B" w:rsidRPr="00E52611">
        <w:t>many of the</w:t>
      </w:r>
      <w:r w:rsidR="003069BD" w:rsidRPr="00E52611">
        <w:t xml:space="preserve"> laws </w:t>
      </w:r>
      <w:r w:rsidR="00BC081B" w:rsidRPr="00E52611">
        <w:t>challenged as bills of attainder is</w:t>
      </w:r>
      <w:r w:rsidR="003E4A36" w:rsidRPr="00E52611">
        <w:t xml:space="preserve"> temporary; s</w:t>
      </w:r>
      <w:r w:rsidR="003C7354" w:rsidRPr="00E52611">
        <w:t xml:space="preserve">tatutes and regulations </w:t>
      </w:r>
      <w:r w:rsidR="00C82A85" w:rsidRPr="00E52611">
        <w:t>are inherently subject to alteration</w:t>
      </w:r>
      <w:r w:rsidR="005F1C46" w:rsidRPr="00E52611">
        <w:t xml:space="preserve">. </w:t>
      </w:r>
      <w:r w:rsidR="001E3238">
        <w:t>And</w:t>
      </w:r>
      <w:r w:rsidR="002144E4" w:rsidRPr="00E52611">
        <w:t xml:space="preserve"> if ACORN and its affiliates “are precluded from challenging a funding restriction on the basis of ‘temporariness’ of a year-long appropriations provision, [they] could never challenge a ban in an appropriations bill that was renewed indefinitely.”</w:t>
      </w:r>
      <w:r w:rsidR="002144E4" w:rsidRPr="00E52611">
        <w:rPr>
          <w:rStyle w:val="FootnoteReference"/>
        </w:rPr>
        <w:footnoteReference w:id="10"/>
      </w:r>
      <w:r w:rsidR="005F1C46" w:rsidRPr="00E52611">
        <w:t xml:space="preserve"> </w:t>
      </w:r>
      <w:r w:rsidR="002144E4" w:rsidRPr="00E52611">
        <w:t xml:space="preserve">Finally, even a temporary measure </w:t>
      </w:r>
      <w:r w:rsidR="006E6F51" w:rsidRPr="00E52611">
        <w:t>can inflict irreparable harm. In this case the laws have</w:t>
      </w:r>
      <w:r w:rsidR="002144E4" w:rsidRPr="00E52611">
        <w:t xml:space="preserve">, as evidenced by ACORN’s disbandment. </w:t>
      </w:r>
      <w:r w:rsidR="005F1C46" w:rsidRPr="00E52611">
        <w:t xml:space="preserve">As the district court stated, </w:t>
      </w:r>
      <w:r w:rsidR="0052227A" w:rsidRPr="00E52611">
        <w:t xml:space="preserve">“if Congress determined that a person was to be jailed for a year and then released, the government would be hard pressed to argue that only a life sentence would constitute ‘punishment.’” </w:t>
      </w:r>
      <w:r w:rsidR="00DF0559" w:rsidRPr="00E52611">
        <w:fldChar w:fldCharType="begin"/>
      </w:r>
      <w:r w:rsidR="00E52611" w:rsidRPr="00E52611">
        <w:instrText xml:space="preserve"> ADDIN BA \xc &lt;@$rec&gt; \xl 10 \s QOQUYW000092 \xpl 1 </w:instrText>
      </w:r>
      <w:r w:rsidR="00DF0559" w:rsidRPr="00E52611">
        <w:fldChar w:fldCharType="end"/>
      </w:r>
      <w:bookmarkStart w:id="123" w:name="_BA_Cite_235"/>
      <w:r w:rsidR="0052227A" w:rsidRPr="00E52611">
        <w:t>(</w:t>
      </w:r>
      <w:r w:rsidR="004408B2" w:rsidRPr="00E52611">
        <w:t>R. at 38</w:t>
      </w:r>
      <w:r w:rsidR="0052227A" w:rsidRPr="00E52611">
        <w:t>)</w:t>
      </w:r>
      <w:bookmarkEnd w:id="123"/>
      <w:r w:rsidR="0052227A" w:rsidRPr="00E52611">
        <w:t xml:space="preserve">. </w:t>
      </w:r>
    </w:p>
    <w:p w:rsidR="00630733" w:rsidRPr="00E52611" w:rsidRDefault="006864CB" w:rsidP="002F2104">
      <w:pPr>
        <w:pStyle w:val="Heading3"/>
        <w:numPr>
          <w:ilvl w:val="0"/>
          <w:numId w:val="18"/>
        </w:numPr>
        <w:ind w:left="2160" w:hanging="720"/>
        <w:rPr>
          <w:b w:val="0"/>
          <w:u w:val="single"/>
        </w:rPr>
      </w:pPr>
      <w:bookmarkStart w:id="124" w:name="_Toc190667450"/>
      <w:r w:rsidRPr="00E52611">
        <w:rPr>
          <w:b w:val="0"/>
          <w:u w:val="single"/>
        </w:rPr>
        <w:t>The Appropriations</w:t>
      </w:r>
      <w:r w:rsidR="00630733" w:rsidRPr="00E52611">
        <w:rPr>
          <w:b w:val="0"/>
          <w:u w:val="single"/>
        </w:rPr>
        <w:t xml:space="preserve"> Laws</w:t>
      </w:r>
      <w:r w:rsidR="00765967" w:rsidRPr="00E52611">
        <w:rPr>
          <w:b w:val="0"/>
          <w:u w:val="single"/>
        </w:rPr>
        <w:t>’</w:t>
      </w:r>
      <w:r w:rsidR="00630733" w:rsidRPr="00E52611">
        <w:rPr>
          <w:b w:val="0"/>
          <w:u w:val="single"/>
        </w:rPr>
        <w:t xml:space="preserve"> Means are Unrelated to </w:t>
      </w:r>
      <w:r w:rsidR="00CD1ADD" w:rsidRPr="00E52611">
        <w:rPr>
          <w:b w:val="0"/>
          <w:u w:val="single"/>
        </w:rPr>
        <w:t xml:space="preserve">Congress’ </w:t>
      </w:r>
      <w:r w:rsidR="00630733" w:rsidRPr="00E52611">
        <w:rPr>
          <w:b w:val="0"/>
          <w:u w:val="single"/>
        </w:rPr>
        <w:t>Purported Goal of Protecting Taxpayer Dollars</w:t>
      </w:r>
      <w:bookmarkEnd w:id="124"/>
      <w:r w:rsidR="00630733" w:rsidRPr="00E52611">
        <w:rPr>
          <w:b w:val="0"/>
          <w:u w:val="single"/>
        </w:rPr>
        <w:t xml:space="preserve"> </w:t>
      </w:r>
    </w:p>
    <w:p w:rsidR="00630733" w:rsidRPr="00E52611" w:rsidRDefault="00630733" w:rsidP="00630733"/>
    <w:p w:rsidR="00CE5939" w:rsidRPr="00E52611" w:rsidRDefault="00516BF7" w:rsidP="00E464AF">
      <w:pPr>
        <w:pStyle w:val="ListParagraph"/>
        <w:spacing w:line="480" w:lineRule="auto"/>
        <w:ind w:left="0" w:firstLine="720"/>
      </w:pPr>
      <w:r w:rsidRPr="00E52611">
        <w:t>A legitimately</w:t>
      </w:r>
      <w:r w:rsidR="008D78B2" w:rsidRPr="00E52611">
        <w:t xml:space="preserve"> nonpunitive statute</w:t>
      </w:r>
      <w:r w:rsidR="00801B31" w:rsidRPr="00E52611">
        <w:t xml:space="preserve"> must have a </w:t>
      </w:r>
      <w:r w:rsidR="008D78B2" w:rsidRPr="00E52611">
        <w:t>rational</w:t>
      </w:r>
      <w:r w:rsidR="00801B31" w:rsidRPr="00E52611">
        <w:t xml:space="preserve"> and fair purpose. </w:t>
      </w:r>
      <w:r w:rsidR="00DF0559" w:rsidRPr="00E52611">
        <w:fldChar w:fldCharType="begin"/>
      </w:r>
      <w:r w:rsidR="00E52611" w:rsidRPr="00E52611">
        <w:instrText xml:space="preserve"> ADDIN BA \xc &lt;@$cs&gt; \xl 22 \s QOQUYW000015 \xhfl Rep </w:instrText>
      </w:r>
      <w:r w:rsidR="00DF0559" w:rsidRPr="00E52611">
        <w:fldChar w:fldCharType="end"/>
      </w:r>
      <w:r w:rsidR="00801B31" w:rsidRPr="00E52611">
        <w:rPr>
          <w:i/>
        </w:rPr>
        <w:t>Nixon</w:t>
      </w:r>
      <w:r w:rsidR="00801B31" w:rsidRPr="00E52611">
        <w:t xml:space="preserve">, 433 U.S. at 854.  </w:t>
      </w:r>
      <w:r w:rsidR="00CA59BA" w:rsidRPr="00E52611">
        <w:t>The nonpunitive purpose</w:t>
      </w:r>
      <w:r w:rsidR="00801B31" w:rsidRPr="00E52611">
        <w:t xml:space="preserve"> </w:t>
      </w:r>
      <w:r w:rsidR="00933ABE" w:rsidRPr="00E52611">
        <w:t>cannot be a</w:t>
      </w:r>
      <w:r w:rsidR="00113CBC" w:rsidRPr="00E52611">
        <w:t xml:space="preserve"> façade. As such, </w:t>
      </w:r>
      <w:r w:rsidR="00801B31" w:rsidRPr="00E52611">
        <w:t xml:space="preserve">a nexus must exist between the “legislative means and nonpunitive ends.” </w:t>
      </w:r>
      <w:r w:rsidR="00DF0559" w:rsidRPr="00E52611">
        <w:fldChar w:fldCharType="begin"/>
      </w:r>
      <w:r w:rsidR="00E52611" w:rsidRPr="00E52611">
        <w:instrText xml:space="preserve"> ADDIN BA \xc &lt;@$cs&gt; \xl 26 \s QOQUYW000036 \xhfl Rep </w:instrText>
      </w:r>
      <w:r w:rsidR="00DF0559" w:rsidRPr="00E52611">
        <w:fldChar w:fldCharType="end"/>
      </w:r>
      <w:r w:rsidR="00801B31" w:rsidRPr="00E52611">
        <w:rPr>
          <w:i/>
        </w:rPr>
        <w:t>For</w:t>
      </w:r>
      <w:r w:rsidR="00C55CAE" w:rsidRPr="00E52611">
        <w:rPr>
          <w:i/>
        </w:rPr>
        <w:t>et</w:t>
      </w:r>
      <w:r w:rsidR="00801B31" w:rsidRPr="00E52611">
        <w:rPr>
          <w:i/>
        </w:rPr>
        <w:t>ich</w:t>
      </w:r>
      <w:r w:rsidR="00801B31" w:rsidRPr="00E52611">
        <w:t>, 351 F.3d at 1222</w:t>
      </w:r>
      <w:r w:rsidR="006E2050" w:rsidRPr="00E52611">
        <w:t>.</w:t>
      </w:r>
      <w:r w:rsidR="00801B31" w:rsidRPr="00E52611">
        <w:t xml:space="preserve"> </w:t>
      </w:r>
      <w:r w:rsidR="00092A25" w:rsidRPr="00E52611">
        <w:t>A court must balance the alleged nonpunitive ends with the imposed b</w:t>
      </w:r>
      <w:r w:rsidR="00D1170B" w:rsidRPr="00E52611">
        <w:t>urden to determine the law’s severity</w:t>
      </w:r>
      <w:r w:rsidR="00092A25" w:rsidRPr="00E52611">
        <w:t xml:space="preserve">. </w:t>
      </w:r>
      <w:r w:rsidR="00DF0559" w:rsidRPr="00E52611">
        <w:fldChar w:fldCharType="begin"/>
      </w:r>
      <w:r w:rsidR="00E52611" w:rsidRPr="00E52611">
        <w:instrText xml:space="preserve"> ADDIN BA \xc &lt;@$id&gt; \xl 3 \s ID </w:instrText>
      </w:r>
      <w:r w:rsidR="00DF0559" w:rsidRPr="00E52611">
        <w:fldChar w:fldCharType="end"/>
      </w:r>
      <w:r w:rsidR="006E2050" w:rsidRPr="00E52611">
        <w:rPr>
          <w:i/>
        </w:rPr>
        <w:t xml:space="preserve">Id. </w:t>
      </w:r>
      <w:r w:rsidR="00431CA1" w:rsidRPr="00E52611">
        <w:t>Because</w:t>
      </w:r>
      <w:r w:rsidR="007443B6" w:rsidRPr="00E52611">
        <w:t xml:space="preserve"> it</w:t>
      </w:r>
      <w:r w:rsidR="00092A25" w:rsidRPr="00E52611">
        <w:t xml:space="preserve"> </w:t>
      </w:r>
      <w:r w:rsidR="00CE5939" w:rsidRPr="00E52611">
        <w:t>“</w:t>
      </w:r>
      <w:r w:rsidR="00092A25" w:rsidRPr="00E52611">
        <w:t xml:space="preserve">is not the severity of a statutory burden in absolute terms that </w:t>
      </w:r>
      <w:r w:rsidR="00092A25" w:rsidRPr="00E52611">
        <w:lastRenderedPageBreak/>
        <w:t>demonstrates punitiveness so much as the magnitude of the burden relative to the purported nonpun</w:t>
      </w:r>
      <w:r w:rsidR="00CE5939" w:rsidRPr="00E52611">
        <w:t>itive purposes of the statute.”</w:t>
      </w:r>
      <w:r w:rsidR="00CE5939" w:rsidRPr="00E52611">
        <w:rPr>
          <w:i/>
        </w:rPr>
        <w:t xml:space="preserve"> </w:t>
      </w:r>
      <w:r w:rsidR="00DF0559" w:rsidRPr="00E52611">
        <w:fldChar w:fldCharType="begin"/>
      </w:r>
      <w:r w:rsidR="00E52611" w:rsidRPr="00E52611">
        <w:instrText xml:space="preserve"> ADDIN BA \xc &lt;@$id&gt; \xl 3 \s ID </w:instrText>
      </w:r>
      <w:r w:rsidR="00DF0559" w:rsidRPr="00E52611">
        <w:fldChar w:fldCharType="end"/>
      </w:r>
      <w:r w:rsidR="006E2050" w:rsidRPr="00E52611">
        <w:rPr>
          <w:i/>
        </w:rPr>
        <w:t>Id.</w:t>
      </w:r>
    </w:p>
    <w:p w:rsidR="00482316" w:rsidRPr="00E52611" w:rsidRDefault="00801B31" w:rsidP="00F95C26">
      <w:pPr>
        <w:pStyle w:val="ListParagraph"/>
        <w:spacing w:line="480" w:lineRule="auto"/>
        <w:ind w:left="0" w:firstLine="720"/>
      </w:pPr>
      <w:r w:rsidRPr="00E52611">
        <w:t>Congre</w:t>
      </w:r>
      <w:r w:rsidR="004E2723" w:rsidRPr="00E52611">
        <w:t>ss’ alleged purpose behind the appropriations l</w:t>
      </w:r>
      <w:r w:rsidRPr="00E52611">
        <w:t xml:space="preserve">aws </w:t>
      </w:r>
      <w:r w:rsidR="009A2907" w:rsidRPr="00E52611">
        <w:t xml:space="preserve">was </w:t>
      </w:r>
      <w:r w:rsidR="009753A8" w:rsidRPr="00E52611">
        <w:t xml:space="preserve">to “ensure the effective expenditure of taxpayer dollars.” </w:t>
      </w:r>
      <w:r w:rsidR="00DF0559" w:rsidRPr="00E52611">
        <w:fldChar w:fldCharType="begin"/>
      </w:r>
      <w:r w:rsidR="00E52611" w:rsidRPr="00E52611">
        <w:instrText xml:space="preserve"> ADDIN BA \xc &lt;@rec&gt; \xl 10 \s QOQUYW000093 \xpl 1 \l "(R. at 18)" </w:instrText>
      </w:r>
      <w:r w:rsidR="00DF0559" w:rsidRPr="00E52611">
        <w:fldChar w:fldCharType="end"/>
      </w:r>
      <w:bookmarkStart w:id="125" w:name="_BA_Cite_236"/>
      <w:r w:rsidR="009753A8" w:rsidRPr="00E52611">
        <w:t>(R. at 18)</w:t>
      </w:r>
      <w:bookmarkEnd w:id="125"/>
      <w:r w:rsidR="00951F99" w:rsidRPr="00E52611">
        <w:t>. But the means used</w:t>
      </w:r>
      <w:r w:rsidR="00F72972" w:rsidRPr="00E52611">
        <w:t xml:space="preserve"> </w:t>
      </w:r>
      <w:r w:rsidRPr="00E52611">
        <w:t>expose this “purpose” as a post-hoc rationalization</w:t>
      </w:r>
      <w:r w:rsidR="00C67669" w:rsidRPr="00E52611">
        <w:t xml:space="preserve"> </w:t>
      </w:r>
      <w:r w:rsidR="00CE5939" w:rsidRPr="00E52611">
        <w:t>meant to cover up</w:t>
      </w:r>
      <w:r w:rsidR="00C67669" w:rsidRPr="00E52611">
        <w:t xml:space="preserve"> Congress’ true intent</w:t>
      </w:r>
      <w:r w:rsidR="00F95C26" w:rsidRPr="00E52611">
        <w:t>–</w:t>
      </w:r>
      <w:r w:rsidR="009F4F1F" w:rsidRPr="00E52611">
        <w:t>p</w:t>
      </w:r>
      <w:r w:rsidR="00C67669" w:rsidRPr="00E52611">
        <w:t xml:space="preserve">unishing ACORN. </w:t>
      </w:r>
    </w:p>
    <w:p w:rsidR="00617E23" w:rsidRPr="00E52611" w:rsidRDefault="00617E23" w:rsidP="002F5619">
      <w:pPr>
        <w:pStyle w:val="ListParagraph"/>
        <w:tabs>
          <w:tab w:val="left" w:pos="2160"/>
          <w:tab w:val="left" w:pos="3420"/>
        </w:tabs>
        <w:ind w:left="2880" w:hanging="720"/>
        <w:rPr>
          <w:i/>
        </w:rPr>
      </w:pPr>
      <w:r w:rsidRPr="00E52611">
        <w:t>a</w:t>
      </w:r>
      <w:r w:rsidR="00E84CE2" w:rsidRPr="00E52611">
        <w:t>.</w:t>
      </w:r>
      <w:r w:rsidR="00E84CE2" w:rsidRPr="00E52611">
        <w:rPr>
          <w:i/>
        </w:rPr>
        <w:tab/>
      </w:r>
      <w:r w:rsidR="009A2907" w:rsidRPr="00E52611">
        <w:rPr>
          <w:i/>
        </w:rPr>
        <w:t>The l</w:t>
      </w:r>
      <w:r w:rsidRPr="00E52611">
        <w:rPr>
          <w:i/>
        </w:rPr>
        <w:t xml:space="preserve">aws’ </w:t>
      </w:r>
      <w:r w:rsidR="009A2907" w:rsidRPr="00E52611">
        <w:rPr>
          <w:i/>
        </w:rPr>
        <w:t>m</w:t>
      </w:r>
      <w:r w:rsidR="001E24E5" w:rsidRPr="00E52611">
        <w:rPr>
          <w:i/>
        </w:rPr>
        <w:t>eans</w:t>
      </w:r>
      <w:r w:rsidR="009A2907" w:rsidRPr="00E52611">
        <w:rPr>
          <w:i/>
        </w:rPr>
        <w:t xml:space="preserve"> are u</w:t>
      </w:r>
      <w:r w:rsidRPr="00E52611">
        <w:rPr>
          <w:i/>
        </w:rPr>
        <w:t xml:space="preserve">nrelated to </w:t>
      </w:r>
      <w:r w:rsidR="00563203" w:rsidRPr="00E52611">
        <w:rPr>
          <w:i/>
        </w:rPr>
        <w:t>their</w:t>
      </w:r>
      <w:r w:rsidR="009A2907" w:rsidRPr="00E52611">
        <w:rPr>
          <w:i/>
        </w:rPr>
        <w:t xml:space="preserve"> g</w:t>
      </w:r>
      <w:r w:rsidR="001E24E5" w:rsidRPr="00E52611">
        <w:rPr>
          <w:i/>
        </w:rPr>
        <w:t>oal</w:t>
      </w:r>
      <w:r w:rsidR="009A2907" w:rsidRPr="00E52611">
        <w:rPr>
          <w:i/>
        </w:rPr>
        <w:t>s</w:t>
      </w:r>
    </w:p>
    <w:p w:rsidR="002F5619" w:rsidRPr="00E52611" w:rsidRDefault="002F5619" w:rsidP="00E84CE2">
      <w:pPr>
        <w:pStyle w:val="ListParagraph"/>
        <w:tabs>
          <w:tab w:val="left" w:pos="3420"/>
        </w:tabs>
        <w:ind w:left="4320" w:hanging="1440"/>
        <w:rPr>
          <w:i/>
        </w:rPr>
      </w:pPr>
    </w:p>
    <w:p w:rsidR="00DC71E7" w:rsidRPr="00E52611" w:rsidRDefault="005E3AE0" w:rsidP="00DF07C0">
      <w:pPr>
        <w:autoSpaceDE w:val="0"/>
        <w:autoSpaceDN w:val="0"/>
        <w:adjustRightInd w:val="0"/>
        <w:spacing w:line="480" w:lineRule="auto"/>
        <w:rPr>
          <w:i/>
        </w:rPr>
      </w:pPr>
      <w:r w:rsidRPr="00E52611">
        <w:tab/>
      </w:r>
      <w:r w:rsidR="00DC71E7" w:rsidRPr="00E52611">
        <w:t xml:space="preserve">In </w:t>
      </w:r>
      <w:r w:rsidR="005B6A4E" w:rsidRPr="00E52611">
        <w:rPr>
          <w:i/>
        </w:rPr>
        <w:t>De</w:t>
      </w:r>
      <w:r w:rsidR="00DC71E7" w:rsidRPr="00E52611">
        <w:rPr>
          <w:i/>
        </w:rPr>
        <w:t>heinaut</w:t>
      </w:r>
      <w:r w:rsidR="00583B3C" w:rsidRPr="00E52611">
        <w:t xml:space="preserve">, an adequate </w:t>
      </w:r>
      <w:r w:rsidR="00DC71E7" w:rsidRPr="00E52611">
        <w:t xml:space="preserve">nexus </w:t>
      </w:r>
      <w:r w:rsidR="00F30F24" w:rsidRPr="00E52611">
        <w:t xml:space="preserve">existed </w:t>
      </w:r>
      <w:r w:rsidR="00DC71E7" w:rsidRPr="00E52611">
        <w:t xml:space="preserve">between the </w:t>
      </w:r>
      <w:r w:rsidR="003E2D57" w:rsidRPr="00E52611">
        <w:t>disputed statute</w:t>
      </w:r>
      <w:r w:rsidR="00784E9D" w:rsidRPr="00E52611">
        <w:t>’</w:t>
      </w:r>
      <w:r w:rsidR="003E2D57" w:rsidRPr="00E52611">
        <w:t>s</w:t>
      </w:r>
      <w:r w:rsidR="00DC71E7" w:rsidRPr="00E52611">
        <w:t xml:space="preserve"> </w:t>
      </w:r>
      <w:r w:rsidR="009B1C75" w:rsidRPr="00E52611">
        <w:t xml:space="preserve">ends </w:t>
      </w:r>
      <w:r w:rsidR="00DC71E7" w:rsidRPr="00E52611">
        <w:t>and</w:t>
      </w:r>
      <w:r w:rsidR="00BD0476" w:rsidRPr="00E52611">
        <w:t xml:space="preserve"> </w:t>
      </w:r>
      <w:r w:rsidR="003E2D57" w:rsidRPr="00E52611">
        <w:t xml:space="preserve">its </w:t>
      </w:r>
      <w:r w:rsidR="00DC71E7" w:rsidRPr="00E52611">
        <w:t xml:space="preserve">means. </w:t>
      </w:r>
      <w:r w:rsidR="00DF0559" w:rsidRPr="00E52611">
        <w:fldChar w:fldCharType="begin"/>
      </w:r>
      <w:r w:rsidR="00E52611" w:rsidRPr="00E52611">
        <w:instrText xml:space="preserve"> ADDIN BA \xc &lt;@$cs&gt; \xl 18 \s QOQUYW000044 \xhfl Rep </w:instrText>
      </w:r>
      <w:r w:rsidR="00DF0559" w:rsidRPr="00E52611">
        <w:fldChar w:fldCharType="end"/>
      </w:r>
      <w:bookmarkStart w:id="126" w:name="_BA_Cite_237"/>
      <w:r w:rsidR="00583B3C" w:rsidRPr="00E52611">
        <w:t>32 F.3d at 1072-73</w:t>
      </w:r>
      <w:bookmarkEnd w:id="126"/>
      <w:r w:rsidR="00583B3C" w:rsidRPr="00E52611">
        <w:t xml:space="preserve">. </w:t>
      </w:r>
      <w:r w:rsidR="00D0487B" w:rsidRPr="00E52611">
        <w:t>In that case</w:t>
      </w:r>
      <w:r w:rsidR="00BA5B63" w:rsidRPr="00E52611">
        <w:t xml:space="preserve">, </w:t>
      </w:r>
      <w:r w:rsidR="00131569" w:rsidRPr="00E52611">
        <w:t xml:space="preserve">the </w:t>
      </w:r>
      <w:r w:rsidR="00BA5B63" w:rsidRPr="00E52611">
        <w:t xml:space="preserve">government’s stated goal was </w:t>
      </w:r>
      <w:r w:rsidR="00016A5E" w:rsidRPr="00E52611">
        <w:t>protecting “</w:t>
      </w:r>
      <w:r w:rsidR="00BA5B63" w:rsidRPr="00E52611">
        <w:t xml:space="preserve">the efficiency of the FAA’s operations.” </w:t>
      </w:r>
      <w:r w:rsidR="00DF0559" w:rsidRPr="00E52611">
        <w:fldChar w:fldCharType="begin"/>
      </w:r>
      <w:r w:rsidR="00E52611" w:rsidRPr="00E52611">
        <w:instrText xml:space="preserve"> ADDIN BA \xc &lt;@$id&gt; \xl 11 \s ID \xhfl Rep </w:instrText>
      </w:r>
      <w:r w:rsidR="00DF0559" w:rsidRPr="00E52611">
        <w:fldChar w:fldCharType="end"/>
      </w:r>
      <w:r w:rsidR="00BA5B63" w:rsidRPr="00E52611">
        <w:rPr>
          <w:i/>
        </w:rPr>
        <w:t xml:space="preserve">Id. </w:t>
      </w:r>
      <w:r w:rsidR="00BA5B63" w:rsidRPr="00E52611">
        <w:t xml:space="preserve">at 1072. The court found that the </w:t>
      </w:r>
      <w:r w:rsidR="00CC3521" w:rsidRPr="00E52611">
        <w:t xml:space="preserve">means there </w:t>
      </w:r>
      <w:r w:rsidR="00BA5B63" w:rsidRPr="00E52611">
        <w:t xml:space="preserve">were adequately related to the goal, because prohibiting “the intermingling of controllers who had been fired for striking with those who had replaced them would interfere with the safety and efficiency of the FAA’s operations.” </w:t>
      </w:r>
      <w:r w:rsidR="00DF0559" w:rsidRPr="00E52611">
        <w:fldChar w:fldCharType="begin"/>
      </w:r>
      <w:r w:rsidR="00E52611" w:rsidRPr="00E52611">
        <w:instrText xml:space="preserve"> ADDIN BA \xc &lt;@$id&gt; \xl 3 \s ID </w:instrText>
      </w:r>
      <w:r w:rsidR="00DF0559" w:rsidRPr="00E52611">
        <w:fldChar w:fldCharType="end"/>
      </w:r>
      <w:r w:rsidR="00BA5B63" w:rsidRPr="00E52611">
        <w:rPr>
          <w:i/>
        </w:rPr>
        <w:t xml:space="preserve">Id. </w:t>
      </w:r>
    </w:p>
    <w:p w:rsidR="007D6AED" w:rsidRPr="00E52611" w:rsidRDefault="00531F64" w:rsidP="00A046BF">
      <w:pPr>
        <w:spacing w:line="480" w:lineRule="auto"/>
      </w:pPr>
      <w:r w:rsidRPr="00E52611">
        <w:tab/>
      </w:r>
      <w:r w:rsidR="000D4FF6" w:rsidRPr="00E52611">
        <w:t xml:space="preserve">Conversely, </w:t>
      </w:r>
      <w:r w:rsidR="00736CBB" w:rsidRPr="00E52611">
        <w:t>in</w:t>
      </w:r>
      <w:r w:rsidR="008734C6" w:rsidRPr="00E52611">
        <w:t xml:space="preserve"> </w:t>
      </w:r>
      <w:r w:rsidR="00DF0559" w:rsidRPr="00E52611">
        <w:fldChar w:fldCharType="begin"/>
      </w:r>
      <w:r w:rsidR="00E52611" w:rsidRPr="00E52611">
        <w:instrText xml:space="preserve"> ADDIN BA \xc &lt;@$cs&gt; \xl 11 \s QOQUYW000018 </w:instrText>
      </w:r>
      <w:r w:rsidR="00DF0559" w:rsidRPr="00E52611">
        <w:fldChar w:fldCharType="end"/>
      </w:r>
      <w:r w:rsidR="00DC7DB9" w:rsidRPr="00E52611">
        <w:rPr>
          <w:i/>
        </w:rPr>
        <w:t>Con</w:t>
      </w:r>
      <w:r w:rsidR="00214F7F" w:rsidRPr="00E52611">
        <w:rPr>
          <w:i/>
        </w:rPr>
        <w:t>.</w:t>
      </w:r>
      <w:r w:rsidR="00DC7DB9" w:rsidRPr="00E52611">
        <w:rPr>
          <w:i/>
        </w:rPr>
        <w:t xml:space="preserve"> Edison </w:t>
      </w:r>
      <w:r w:rsidR="00A72B97" w:rsidRPr="00E52611">
        <w:t xml:space="preserve">no </w:t>
      </w:r>
      <w:r w:rsidR="00A046BF" w:rsidRPr="00E52611">
        <w:t>nexus</w:t>
      </w:r>
      <w:r w:rsidR="00A72B97" w:rsidRPr="00E52611">
        <w:t xml:space="preserve"> existed</w:t>
      </w:r>
      <w:r w:rsidR="00A046BF" w:rsidRPr="00E52611">
        <w:t xml:space="preserve"> between the statute’s purpor</w:t>
      </w:r>
      <w:r w:rsidR="00B42F0F" w:rsidRPr="00E52611">
        <w:t xml:space="preserve">ted nonpunitive purpose and </w:t>
      </w:r>
      <w:r w:rsidR="00A046BF" w:rsidRPr="00E52611">
        <w:t xml:space="preserve">its means. </w:t>
      </w:r>
      <w:r w:rsidR="00DF0559" w:rsidRPr="00E52611">
        <w:fldChar w:fldCharType="begin"/>
      </w:r>
      <w:r w:rsidR="00E52611" w:rsidRPr="00E52611">
        <w:instrText xml:space="preserve"> ADDIN BA \xc &lt;@$cs&gt; \xl 15 \s QOQUYW000018 \xhfl Rep </w:instrText>
      </w:r>
      <w:r w:rsidR="00DF0559" w:rsidRPr="00E52611">
        <w:fldChar w:fldCharType="end"/>
      </w:r>
      <w:r w:rsidR="00A046BF" w:rsidRPr="00E52611">
        <w:t xml:space="preserve">292 F.3d at 354. </w:t>
      </w:r>
      <w:r w:rsidR="007D6AED" w:rsidRPr="00E52611">
        <w:t xml:space="preserve">There, the New York legislature passed a statute barring plaintiff power provider from increasing its customers’ service rates to pay for the costs of a power outage </w:t>
      </w:r>
      <w:r w:rsidR="007D6AED" w:rsidRPr="00E52611">
        <w:rPr>
          <w:rFonts w:eastAsia="Times New Roman"/>
          <w:lang w:eastAsia="en-US"/>
        </w:rPr>
        <w:t xml:space="preserve">caused by its defective generator. </w:t>
      </w:r>
      <w:r w:rsidR="00DF0559" w:rsidRPr="00E52611">
        <w:fldChar w:fldCharType="begin"/>
      </w:r>
      <w:r w:rsidR="00E52611" w:rsidRPr="00E52611">
        <w:instrText xml:space="preserve"> ADDIN BA \xc &lt;@$id&gt; \xl 10 \s ID \xhfl Rep </w:instrText>
      </w:r>
      <w:r w:rsidR="00DF0559" w:rsidRPr="00E52611">
        <w:fldChar w:fldCharType="end"/>
      </w:r>
      <w:r w:rsidR="007D6AED" w:rsidRPr="00E52611">
        <w:rPr>
          <w:rFonts w:eastAsia="Times New Roman"/>
          <w:i/>
          <w:lang w:eastAsia="en-US"/>
        </w:rPr>
        <w:t xml:space="preserve">Id. </w:t>
      </w:r>
      <w:r w:rsidR="007D6AED" w:rsidRPr="00E52611">
        <w:rPr>
          <w:rFonts w:eastAsia="Times New Roman"/>
          <w:lang w:eastAsia="en-US"/>
        </w:rPr>
        <w:t xml:space="preserve">at </w:t>
      </w:r>
      <w:r w:rsidR="000B5D06" w:rsidRPr="00E52611">
        <w:rPr>
          <w:rFonts w:eastAsia="Times New Roman"/>
          <w:lang w:eastAsia="en-US"/>
        </w:rPr>
        <w:t xml:space="preserve">345. The statute’s purpose was to prevent Con Ed’s “ratepayers from being forced to bear the costs that the legislature viewed as negligently incurred.” </w:t>
      </w:r>
      <w:r w:rsidR="00DF0559" w:rsidRPr="00E52611">
        <w:fldChar w:fldCharType="begin"/>
      </w:r>
      <w:r w:rsidR="00E52611" w:rsidRPr="00E52611">
        <w:instrText xml:space="preserve"> ADDIN BA \xc &lt;@$id&gt; \xl 10 \s ID \xhfl Rep </w:instrText>
      </w:r>
      <w:r w:rsidR="00DF0559" w:rsidRPr="00E52611">
        <w:fldChar w:fldCharType="end"/>
      </w:r>
      <w:r w:rsidR="000B5D06" w:rsidRPr="00E52611">
        <w:rPr>
          <w:rFonts w:eastAsia="Times New Roman"/>
          <w:i/>
          <w:lang w:eastAsia="en-US"/>
        </w:rPr>
        <w:t xml:space="preserve">Id. </w:t>
      </w:r>
      <w:r w:rsidR="000B5D06" w:rsidRPr="00E52611">
        <w:rPr>
          <w:rFonts w:eastAsia="Times New Roman"/>
          <w:lang w:eastAsia="en-US"/>
        </w:rPr>
        <w:t xml:space="preserve">at 351. But had the outage occurred not because of </w:t>
      </w:r>
      <w:r w:rsidR="00BA2510" w:rsidRPr="00E52611">
        <w:rPr>
          <w:rFonts w:eastAsia="Times New Roman"/>
          <w:lang w:eastAsia="en-US"/>
        </w:rPr>
        <w:t>Con Ed’s</w:t>
      </w:r>
      <w:r w:rsidR="000B5D06" w:rsidRPr="00E52611">
        <w:rPr>
          <w:rFonts w:eastAsia="Times New Roman"/>
          <w:lang w:eastAsia="en-US"/>
        </w:rPr>
        <w:t xml:space="preserve"> mistake, it could have passed on the costs of </w:t>
      </w:r>
      <w:r w:rsidR="000B5D06" w:rsidRPr="00E52611">
        <w:rPr>
          <w:rFonts w:eastAsia="Times New Roman"/>
          <w:lang w:eastAsia="en-US"/>
        </w:rPr>
        <w:lastRenderedPageBreak/>
        <w:t xml:space="preserve">the outage to its customers at substantially the same rates as the outage at issue there. </w:t>
      </w:r>
      <w:r w:rsidR="00DF0559" w:rsidRPr="00E52611">
        <w:fldChar w:fldCharType="begin"/>
      </w:r>
      <w:r w:rsidR="00E52611" w:rsidRPr="00E52611">
        <w:instrText xml:space="preserve"> ADDIN BA \xc &lt;@$id&gt; \xl 10 \s ID \xhfl Rep </w:instrText>
      </w:r>
      <w:r w:rsidR="00DF0559" w:rsidRPr="00E52611">
        <w:fldChar w:fldCharType="end"/>
      </w:r>
      <w:r w:rsidR="006C6AAF" w:rsidRPr="00E52611">
        <w:rPr>
          <w:rFonts w:eastAsia="Times New Roman"/>
          <w:i/>
          <w:lang w:eastAsia="en-US"/>
        </w:rPr>
        <w:t>Id.</w:t>
      </w:r>
      <w:r w:rsidR="00214F7F" w:rsidRPr="00E52611">
        <w:rPr>
          <w:rFonts w:eastAsia="Times New Roman"/>
          <w:i/>
          <w:lang w:eastAsia="en-US"/>
        </w:rPr>
        <w:t xml:space="preserve"> </w:t>
      </w:r>
      <w:r w:rsidR="00214F7F" w:rsidRPr="00E52611">
        <w:rPr>
          <w:rFonts w:eastAsia="Times New Roman"/>
          <w:lang w:eastAsia="en-US"/>
        </w:rPr>
        <w:t>at 353.</w:t>
      </w:r>
      <w:r w:rsidR="006C6AAF" w:rsidRPr="00E52611">
        <w:rPr>
          <w:rFonts w:eastAsia="Times New Roman"/>
          <w:i/>
          <w:lang w:eastAsia="en-US"/>
        </w:rPr>
        <w:t xml:space="preserve"> </w:t>
      </w:r>
      <w:r w:rsidR="008734C6" w:rsidRPr="00E52611">
        <w:rPr>
          <w:rFonts w:eastAsia="Times New Roman"/>
          <w:lang w:eastAsia="en-US"/>
        </w:rPr>
        <w:t xml:space="preserve">This fact belied the statute’s </w:t>
      </w:r>
      <w:r w:rsidR="00DE184D" w:rsidRPr="00E52611">
        <w:rPr>
          <w:rFonts w:eastAsia="Times New Roman"/>
          <w:lang w:eastAsia="en-US"/>
        </w:rPr>
        <w:t>stated</w:t>
      </w:r>
      <w:r w:rsidR="008734C6" w:rsidRPr="00E52611">
        <w:rPr>
          <w:rFonts w:eastAsia="Times New Roman"/>
          <w:lang w:eastAsia="en-US"/>
        </w:rPr>
        <w:t xml:space="preserve"> nonpunitive ends. </w:t>
      </w:r>
      <w:r w:rsidR="00DF0559" w:rsidRPr="00E52611">
        <w:fldChar w:fldCharType="begin"/>
      </w:r>
      <w:r w:rsidR="00E52611" w:rsidRPr="00E52611">
        <w:instrText xml:space="preserve"> ADDIN BA \xc &lt;@$id&gt; \xl 3 \s ID </w:instrText>
      </w:r>
      <w:r w:rsidR="00DF0559" w:rsidRPr="00E52611">
        <w:fldChar w:fldCharType="end"/>
      </w:r>
      <w:r w:rsidR="00935F0E" w:rsidRPr="00E52611">
        <w:rPr>
          <w:rFonts w:eastAsia="Times New Roman"/>
          <w:i/>
          <w:lang w:eastAsia="en-US"/>
        </w:rPr>
        <w:t xml:space="preserve">Id. </w:t>
      </w:r>
      <w:r w:rsidR="00033C03" w:rsidRPr="00E52611">
        <w:rPr>
          <w:rFonts w:eastAsia="Times New Roman"/>
          <w:lang w:eastAsia="en-US"/>
        </w:rPr>
        <w:t xml:space="preserve">The court </w:t>
      </w:r>
      <w:r w:rsidR="00E85D97" w:rsidRPr="00E52611">
        <w:rPr>
          <w:rFonts w:eastAsia="Times New Roman"/>
          <w:lang w:eastAsia="en-US"/>
        </w:rPr>
        <w:t>noted that the</w:t>
      </w:r>
      <w:r w:rsidR="00033C03" w:rsidRPr="00E52611">
        <w:rPr>
          <w:rFonts w:eastAsia="Times New Roman"/>
          <w:lang w:eastAsia="en-US"/>
        </w:rPr>
        <w:t xml:space="preserve"> New York legislature</w:t>
      </w:r>
      <w:r w:rsidR="00E85D97" w:rsidRPr="00E52611">
        <w:rPr>
          <w:rFonts w:eastAsia="Times New Roman"/>
          <w:lang w:eastAsia="en-US"/>
        </w:rPr>
        <w:t xml:space="preserve"> had</w:t>
      </w:r>
      <w:r w:rsidR="007D6AED" w:rsidRPr="00E52611">
        <w:rPr>
          <w:rFonts w:eastAsia="Times New Roman"/>
          <w:lang w:eastAsia="en-US"/>
        </w:rPr>
        <w:t xml:space="preserve"> “made no attempt whatsoever to ensure that the costs imposed on Con Ed were proportional to the problems</w:t>
      </w:r>
      <w:r w:rsidR="00E03978" w:rsidRPr="00E52611">
        <w:rPr>
          <w:rFonts w:eastAsia="Times New Roman"/>
          <w:lang w:eastAsia="en-US"/>
        </w:rPr>
        <w:t xml:space="preserve">” the legislature sought to ameliorate. </w:t>
      </w:r>
      <w:r w:rsidR="00DF0559" w:rsidRPr="00E52611">
        <w:fldChar w:fldCharType="begin"/>
      </w:r>
      <w:r w:rsidR="00E52611" w:rsidRPr="00E52611">
        <w:instrText xml:space="preserve"> ADDIN BA \xc &lt;@$id&gt; \xl 10 \s ID \xhfl Rep </w:instrText>
      </w:r>
      <w:r w:rsidR="00DF0559" w:rsidRPr="00E52611">
        <w:fldChar w:fldCharType="end"/>
      </w:r>
      <w:r w:rsidR="00DD5E0B" w:rsidRPr="00E52611">
        <w:rPr>
          <w:rFonts w:eastAsia="Times New Roman"/>
          <w:i/>
          <w:lang w:eastAsia="en-US"/>
        </w:rPr>
        <w:t xml:space="preserve">Id. </w:t>
      </w:r>
      <w:r w:rsidR="00DD5E0B" w:rsidRPr="00E52611">
        <w:rPr>
          <w:rFonts w:eastAsia="Times New Roman"/>
          <w:lang w:eastAsia="en-US"/>
        </w:rPr>
        <w:t xml:space="preserve">at 354. </w:t>
      </w:r>
    </w:p>
    <w:p w:rsidR="008830C6" w:rsidRPr="00E52611" w:rsidRDefault="00DC71E7" w:rsidP="00DF07C0">
      <w:pPr>
        <w:spacing w:line="480" w:lineRule="auto"/>
        <w:rPr>
          <w:bCs/>
        </w:rPr>
      </w:pPr>
      <w:r w:rsidRPr="00E52611">
        <w:tab/>
      </w:r>
      <w:r w:rsidR="008E5491" w:rsidRPr="00E52611">
        <w:t>In this case</w:t>
      </w:r>
      <w:r w:rsidR="005232EF" w:rsidRPr="00E52611">
        <w:t>,</w:t>
      </w:r>
      <w:r w:rsidR="008E5491" w:rsidRPr="00E52611">
        <w:t xml:space="preserve"> there exists no nexus between Congress’ stated goal and the means used to achieve that goal</w:t>
      </w:r>
      <w:r w:rsidR="00957A6F" w:rsidRPr="00E52611">
        <w:t xml:space="preserve">. </w:t>
      </w:r>
      <w:r w:rsidR="005232EF" w:rsidRPr="00E52611">
        <w:t>Indeed, evidence shows that</w:t>
      </w:r>
      <w:r w:rsidR="003323D1" w:rsidRPr="00E52611">
        <w:t xml:space="preserve"> depriving ACORN federal funding will not further Congress’ legislative purpose </w:t>
      </w:r>
      <w:r w:rsidR="00494F95" w:rsidRPr="00E52611">
        <w:t>at all</w:t>
      </w:r>
      <w:r w:rsidR="00996537" w:rsidRPr="00E52611">
        <w:t xml:space="preserve">. </w:t>
      </w:r>
      <w:r w:rsidR="008830C6" w:rsidRPr="00E52611">
        <w:t>A</w:t>
      </w:r>
      <w:r w:rsidR="00996537" w:rsidRPr="00E52611">
        <w:t xml:space="preserve"> CRS report regarding various congressional proposals to defund ACORN found that </w:t>
      </w:r>
      <w:r w:rsidR="005E3AE0" w:rsidRPr="00E52611">
        <w:t>“</w:t>
      </w:r>
      <w:r w:rsidR="00996537" w:rsidRPr="00E52611">
        <w:t>[w]</w:t>
      </w:r>
      <w:r w:rsidR="005E3AE0" w:rsidRPr="00E52611">
        <w:t>hile the regulatory purpose of ensuring that federal funds are properly spent is a legitimate one, it is not clear that imposing a permanent government-wide ban on contracting with or providing grants to ACORN</w:t>
      </w:r>
      <w:r w:rsidR="006540FF" w:rsidRPr="00E52611">
        <w:t xml:space="preserve"> . . . </w:t>
      </w:r>
      <w:r w:rsidR="005E3AE0" w:rsidRPr="00E52611">
        <w:t xml:space="preserve">fits that purpose, at least when the ban is applied only to ACORN and all its affiliates.” </w:t>
      </w:r>
      <w:r w:rsidR="008830C6" w:rsidRPr="00E52611">
        <w:rPr>
          <w:rFonts w:cs="Times"/>
        </w:rPr>
        <w:t xml:space="preserve">CONG. RESEARCH SERV., 111TH  CONG., </w:t>
      </w:r>
      <w:r w:rsidR="00DF0559" w:rsidRPr="00E52611">
        <w:fldChar w:fldCharType="begin"/>
      </w:r>
      <w:r w:rsidR="00E52611" w:rsidRPr="00E52611">
        <w:instrText xml:space="preserve"> ADDIN BA \xc &lt;@reg&gt; \xl 37 \s QOQUYW000053 \l "</w:instrText>
      </w:r>
      <w:r w:rsidR="00E52611" w:rsidRPr="00E52611">
        <w:rPr>
          <w:rFonts w:cs="Times"/>
        </w:rPr>
        <w:instrText>REPORT ON THE PROPOSED “DEFUND ACORN”</w:instrText>
      </w:r>
      <w:r w:rsidR="00E52611" w:rsidRPr="00E52611">
        <w:instrText xml:space="preserve">" </w:instrText>
      </w:r>
      <w:r w:rsidR="00DF0559" w:rsidRPr="00E52611">
        <w:fldChar w:fldCharType="end"/>
      </w:r>
      <w:bookmarkStart w:id="127" w:name="_BA_Cite_238"/>
      <w:r w:rsidR="008830C6" w:rsidRPr="00E52611">
        <w:rPr>
          <w:rFonts w:cs="Times"/>
        </w:rPr>
        <w:t>REPORT ON THE PROPOSED “DEFUND ACORN”</w:t>
      </w:r>
      <w:bookmarkEnd w:id="127"/>
      <w:r w:rsidR="008830C6" w:rsidRPr="00E52611">
        <w:rPr>
          <w:rFonts w:cs="Times"/>
        </w:rPr>
        <w:t xml:space="preserve"> ACT AND RELATED LEGISLATION: ARE THEY BILLS OF ATTAINDER? </w:t>
      </w:r>
      <w:r w:rsidR="00C85EBA" w:rsidRPr="00E52611">
        <w:rPr>
          <w:rFonts w:cs="Times"/>
        </w:rPr>
        <w:t xml:space="preserve">(Nov. 30, 2009). </w:t>
      </w:r>
    </w:p>
    <w:p w:rsidR="005E3AE0" w:rsidRPr="00E52611" w:rsidRDefault="00B8147D" w:rsidP="00DF07C0">
      <w:pPr>
        <w:spacing w:line="480" w:lineRule="auto"/>
        <w:rPr>
          <w:rFonts w:eastAsia="Times New Roman"/>
          <w:lang w:eastAsia="en-US"/>
        </w:rPr>
      </w:pPr>
      <w:r w:rsidRPr="00E52611">
        <w:rPr>
          <w:bCs/>
        </w:rPr>
        <w:tab/>
        <w:t>Further, l</w:t>
      </w:r>
      <w:r w:rsidR="00297B87" w:rsidRPr="00E52611">
        <w:t xml:space="preserve">ike the New York legislature in </w:t>
      </w:r>
      <w:r w:rsidR="00DF0559" w:rsidRPr="00E52611">
        <w:fldChar w:fldCharType="begin"/>
      </w:r>
      <w:r w:rsidR="00E52611" w:rsidRPr="00E52611">
        <w:instrText xml:space="preserve"> ADDIN BA \xc &lt;@$cs&gt; \xl 11 \s QOQUYW000018 </w:instrText>
      </w:r>
      <w:r w:rsidR="00DF0559" w:rsidRPr="00E52611">
        <w:fldChar w:fldCharType="end"/>
      </w:r>
      <w:r w:rsidR="00297B87" w:rsidRPr="00E52611">
        <w:rPr>
          <w:i/>
        </w:rPr>
        <w:t>Con. Edison</w:t>
      </w:r>
      <w:r w:rsidR="00297B87" w:rsidRPr="00E52611">
        <w:t xml:space="preserve">, Congress </w:t>
      </w:r>
      <w:r w:rsidR="00297B87" w:rsidRPr="00E52611">
        <w:rPr>
          <w:rFonts w:eastAsia="Times New Roman"/>
          <w:lang w:eastAsia="en-US"/>
        </w:rPr>
        <w:t xml:space="preserve">made </w:t>
      </w:r>
      <w:r w:rsidR="0082069E" w:rsidRPr="00E52611">
        <w:rPr>
          <w:rFonts w:eastAsia="Times New Roman"/>
          <w:lang w:eastAsia="en-US"/>
        </w:rPr>
        <w:t>no attempt to ensure that the burden it imposed on</w:t>
      </w:r>
      <w:r w:rsidR="008F40D1" w:rsidRPr="00E52611">
        <w:rPr>
          <w:rFonts w:eastAsia="Times New Roman"/>
          <w:lang w:eastAsia="en-US"/>
        </w:rPr>
        <w:t xml:space="preserve"> ACORN was proportional to the l</w:t>
      </w:r>
      <w:r w:rsidR="0082069E" w:rsidRPr="00E52611">
        <w:rPr>
          <w:rFonts w:eastAsia="Times New Roman"/>
          <w:lang w:eastAsia="en-US"/>
        </w:rPr>
        <w:t xml:space="preserve">aws’ stated goal of protecting taxpayer dollars. </w:t>
      </w:r>
      <w:r w:rsidR="00297B87" w:rsidRPr="00E52611">
        <w:rPr>
          <w:rFonts w:eastAsia="Times New Roman"/>
          <w:i/>
          <w:lang w:eastAsia="en-US"/>
        </w:rPr>
        <w:t>See</w:t>
      </w:r>
      <w:r w:rsidR="00EF033A" w:rsidRPr="00E52611">
        <w:rPr>
          <w:rFonts w:eastAsia="Times New Roman"/>
          <w:lang w:eastAsia="en-US"/>
        </w:rPr>
        <w:t xml:space="preserve"> </w:t>
      </w:r>
      <w:r w:rsidR="00DF0559" w:rsidRPr="00E52611">
        <w:fldChar w:fldCharType="begin"/>
      </w:r>
      <w:r w:rsidR="00E52611" w:rsidRPr="00E52611">
        <w:instrText xml:space="preserve"> ADDIN BA \xc &lt;@$cs&gt; \xl 15 \s QOQUYW000018 \xhfl Rep </w:instrText>
      </w:r>
      <w:r w:rsidR="00DF0559" w:rsidRPr="00E52611">
        <w:fldChar w:fldCharType="end"/>
      </w:r>
      <w:r w:rsidR="00EF033A" w:rsidRPr="00E52611">
        <w:rPr>
          <w:rFonts w:eastAsia="Times New Roman"/>
          <w:lang w:eastAsia="en-US"/>
        </w:rPr>
        <w:t>292 F.3d</w:t>
      </w:r>
      <w:r w:rsidR="00297B87" w:rsidRPr="00E52611">
        <w:rPr>
          <w:rFonts w:eastAsia="Times New Roman"/>
          <w:i/>
          <w:lang w:eastAsia="en-US"/>
        </w:rPr>
        <w:t xml:space="preserve"> </w:t>
      </w:r>
      <w:r w:rsidR="00297B87" w:rsidRPr="00E52611">
        <w:rPr>
          <w:rFonts w:eastAsia="Times New Roman"/>
          <w:lang w:eastAsia="en-US"/>
        </w:rPr>
        <w:t xml:space="preserve">at 354. </w:t>
      </w:r>
      <w:r w:rsidR="00F10D52" w:rsidRPr="00E52611">
        <w:rPr>
          <w:rFonts w:eastAsia="Times New Roman"/>
          <w:lang w:eastAsia="en-US"/>
        </w:rPr>
        <w:t xml:space="preserve">Though </w:t>
      </w:r>
      <w:r w:rsidR="00DF0559" w:rsidRPr="00E52611">
        <w:fldChar w:fldCharType="begin"/>
      </w:r>
      <w:r w:rsidR="00E52611" w:rsidRPr="00E52611">
        <w:instrText xml:space="preserve"> ADDIN BA \xc &lt;@$osdv&gt; \xl 11 \s QOQUYW000071 </w:instrText>
      </w:r>
      <w:r w:rsidR="00DF0559" w:rsidRPr="00E52611">
        <w:fldChar w:fldCharType="end"/>
      </w:r>
      <w:bookmarkStart w:id="128" w:name="_BA_Cite_239"/>
      <w:r w:rsidR="006D477C" w:rsidRPr="00E52611">
        <w:rPr>
          <w:rFonts w:eastAsia="Times New Roman"/>
          <w:lang w:eastAsia="en-US"/>
        </w:rPr>
        <w:t>Section 535</w:t>
      </w:r>
      <w:bookmarkEnd w:id="128"/>
      <w:r w:rsidR="00F71E71" w:rsidRPr="00E52611">
        <w:rPr>
          <w:rFonts w:eastAsia="Times New Roman"/>
          <w:lang w:eastAsia="en-US"/>
        </w:rPr>
        <w:t xml:space="preserve"> </w:t>
      </w:r>
      <w:r w:rsidR="00F10D52" w:rsidRPr="00E52611">
        <w:rPr>
          <w:rFonts w:eastAsia="Times New Roman"/>
          <w:lang w:eastAsia="en-US"/>
        </w:rPr>
        <w:t xml:space="preserve">called for a GAO report regarding whether or not ACORN misused federal funds </w:t>
      </w:r>
      <w:r w:rsidR="00DF0559" w:rsidRPr="00E52611">
        <w:fldChar w:fldCharType="begin"/>
      </w:r>
      <w:r w:rsidR="00E52611" w:rsidRPr="00E52611">
        <w:instrText xml:space="preserve"> ADDIN BA \xc &lt;@rec&gt; \xl 10 \s QOQUYW000094 \xpl 1 \l "</w:instrText>
      </w:r>
      <w:r w:rsidR="00E52611" w:rsidRPr="00E52611">
        <w:rPr>
          <w:rFonts w:eastAsia="Times New Roman"/>
          <w:lang w:eastAsia="en-US"/>
        </w:rPr>
        <w:instrText>(R. at 11)</w:instrText>
      </w:r>
      <w:r w:rsidR="00E52611" w:rsidRPr="00E52611">
        <w:instrText xml:space="preserve">" </w:instrText>
      </w:r>
      <w:r w:rsidR="00DF0559" w:rsidRPr="00E52611">
        <w:fldChar w:fldCharType="end"/>
      </w:r>
      <w:bookmarkStart w:id="129" w:name="_BA_Cite_240"/>
      <w:r w:rsidR="00F10D52" w:rsidRPr="00E52611">
        <w:rPr>
          <w:rFonts w:eastAsia="Times New Roman"/>
          <w:lang w:eastAsia="en-US"/>
        </w:rPr>
        <w:t xml:space="preserve">(R. at </w:t>
      </w:r>
      <w:r w:rsidR="00F71E71" w:rsidRPr="00E52611">
        <w:rPr>
          <w:rFonts w:eastAsia="Times New Roman"/>
          <w:lang w:eastAsia="en-US"/>
        </w:rPr>
        <w:t>11</w:t>
      </w:r>
      <w:r w:rsidR="00F10D52" w:rsidRPr="00E52611">
        <w:rPr>
          <w:rFonts w:eastAsia="Times New Roman"/>
          <w:lang w:eastAsia="en-US"/>
        </w:rPr>
        <w:t>)</w:t>
      </w:r>
      <w:bookmarkEnd w:id="129"/>
      <w:r w:rsidR="00F10D52" w:rsidRPr="00E52611">
        <w:rPr>
          <w:rFonts w:eastAsia="Times New Roman"/>
          <w:lang w:eastAsia="en-US"/>
        </w:rPr>
        <w:t xml:space="preserve">, </w:t>
      </w:r>
      <w:r w:rsidR="00480D95" w:rsidRPr="00E52611">
        <w:rPr>
          <w:rFonts w:eastAsia="Times New Roman"/>
          <w:lang w:eastAsia="en-US"/>
        </w:rPr>
        <w:t>none of the appropriations l</w:t>
      </w:r>
      <w:r w:rsidR="00345606" w:rsidRPr="00E52611">
        <w:rPr>
          <w:rFonts w:eastAsia="Times New Roman"/>
          <w:lang w:eastAsia="en-US"/>
        </w:rPr>
        <w:t xml:space="preserve">aws took account of this. A nexus might have existed had Congress predicated </w:t>
      </w:r>
      <w:r w:rsidR="00345606" w:rsidRPr="00E52611">
        <w:rPr>
          <w:rFonts w:eastAsia="Times New Roman"/>
          <w:lang w:eastAsia="en-US"/>
        </w:rPr>
        <w:lastRenderedPageBreak/>
        <w:t>denial of funding on the results of the report</w:t>
      </w:r>
      <w:r w:rsidR="008055E3" w:rsidRPr="00E52611">
        <w:rPr>
          <w:rFonts w:eastAsia="Times New Roman"/>
          <w:lang w:eastAsia="en-US"/>
        </w:rPr>
        <w:t xml:space="preserve"> and </w:t>
      </w:r>
      <w:r w:rsidR="00480D95" w:rsidRPr="00E52611">
        <w:rPr>
          <w:rFonts w:eastAsia="Times New Roman"/>
          <w:lang w:eastAsia="en-US"/>
        </w:rPr>
        <w:t xml:space="preserve">then </w:t>
      </w:r>
      <w:r w:rsidR="00C45C87" w:rsidRPr="00E52611">
        <w:rPr>
          <w:rFonts w:eastAsia="Times New Roman"/>
          <w:lang w:eastAsia="en-US"/>
        </w:rPr>
        <w:t>stopped</w:t>
      </w:r>
      <w:r w:rsidR="00480D95" w:rsidRPr="00E52611">
        <w:rPr>
          <w:rFonts w:eastAsia="Times New Roman"/>
          <w:lang w:eastAsia="en-US"/>
        </w:rPr>
        <w:t xml:space="preserve"> </w:t>
      </w:r>
      <w:r w:rsidR="00C45C87" w:rsidRPr="00E52611">
        <w:rPr>
          <w:rFonts w:eastAsia="Times New Roman"/>
          <w:lang w:eastAsia="en-US"/>
        </w:rPr>
        <w:t xml:space="preserve">funding </w:t>
      </w:r>
      <w:r w:rsidR="00345606" w:rsidRPr="00E52611">
        <w:rPr>
          <w:rFonts w:eastAsia="Times New Roman"/>
          <w:lang w:eastAsia="en-US"/>
        </w:rPr>
        <w:t>only those ACORN affiliates that did in fact misuse taxpayer dollars</w:t>
      </w:r>
      <w:r w:rsidR="008055E3" w:rsidRPr="00E52611">
        <w:rPr>
          <w:rFonts w:eastAsia="Times New Roman"/>
          <w:lang w:eastAsia="en-US"/>
        </w:rPr>
        <w:t>.</w:t>
      </w:r>
      <w:r w:rsidR="00BF79B3" w:rsidRPr="00E52611">
        <w:rPr>
          <w:rFonts w:eastAsia="Times New Roman"/>
          <w:lang w:eastAsia="en-US"/>
        </w:rPr>
        <w:t xml:space="preserve"> </w:t>
      </w:r>
      <w:r w:rsidR="00031926" w:rsidRPr="00E52611">
        <w:t xml:space="preserve"> </w:t>
      </w:r>
      <w:r w:rsidR="000746F5" w:rsidRPr="00E52611">
        <w:t>But instead Congress denied funding to ACORN and all of its affiliates w</w:t>
      </w:r>
      <w:r w:rsidR="002038B2" w:rsidRPr="00E52611">
        <w:t xml:space="preserve">ithout regard for whether they </w:t>
      </w:r>
      <w:r w:rsidR="000746F5" w:rsidRPr="00E52611">
        <w:t xml:space="preserve">misused federal dollars or not.  </w:t>
      </w:r>
    </w:p>
    <w:p w:rsidR="004C6F2F" w:rsidRPr="00E52611" w:rsidRDefault="00403020" w:rsidP="00403020">
      <w:pPr>
        <w:pStyle w:val="Heading4"/>
      </w:pPr>
      <w:r w:rsidRPr="00E52611">
        <w:rPr>
          <w:i w:val="0"/>
        </w:rPr>
        <w:t>b.</w:t>
      </w:r>
      <w:r w:rsidRPr="00E52611">
        <w:tab/>
      </w:r>
      <w:r w:rsidR="003567ED" w:rsidRPr="00E52611">
        <w:t>The Appropriations Laws are Underinclusive</w:t>
      </w:r>
      <w:r w:rsidR="00871E3A" w:rsidRPr="00E52611">
        <w:t xml:space="preserve"> </w:t>
      </w:r>
    </w:p>
    <w:p w:rsidR="003567ED" w:rsidRPr="00E52611" w:rsidRDefault="003567ED" w:rsidP="003567ED"/>
    <w:p w:rsidR="003F5E51" w:rsidRPr="00E52611" w:rsidRDefault="003E5F3E" w:rsidP="003567ED">
      <w:pPr>
        <w:pStyle w:val="ListParagraph"/>
        <w:spacing w:line="480" w:lineRule="auto"/>
        <w:ind w:left="0" w:firstLine="720"/>
      </w:pPr>
      <w:r w:rsidRPr="00E52611">
        <w:t xml:space="preserve">The fact that Congress singled out ACORN </w:t>
      </w:r>
      <w:r w:rsidR="00D87420" w:rsidRPr="00E52611">
        <w:t xml:space="preserve">alone </w:t>
      </w:r>
      <w:r w:rsidRPr="00E52611">
        <w:t xml:space="preserve">among other corporations that have </w:t>
      </w:r>
      <w:r w:rsidR="00C3550D" w:rsidRPr="00E52611">
        <w:t xml:space="preserve">allegedly or truly </w:t>
      </w:r>
      <w:r w:rsidRPr="00E52611">
        <w:t xml:space="preserve">misused federal funds </w:t>
      </w:r>
      <w:r w:rsidR="001A5F4F" w:rsidRPr="00E52611">
        <w:t xml:space="preserve">underscores </w:t>
      </w:r>
      <w:r w:rsidR="00395B12" w:rsidRPr="00E52611">
        <w:t>the appropriation l</w:t>
      </w:r>
      <w:r w:rsidR="001A5F4F" w:rsidRPr="00E52611">
        <w:t xml:space="preserve">aws’ punitive nature. </w:t>
      </w:r>
      <w:r w:rsidR="00E44E9B" w:rsidRPr="00E52611">
        <w:t xml:space="preserve">While neither underinclusiveness </w:t>
      </w:r>
      <w:r w:rsidR="00F36DBF" w:rsidRPr="00E52611">
        <w:t>n</w:t>
      </w:r>
      <w:r w:rsidR="00E44E9B" w:rsidRPr="00E52611">
        <w:t>or specificity alone “render</w:t>
      </w:r>
      <w:r w:rsidR="005232EF" w:rsidRPr="00E52611">
        <w:t>[s]</w:t>
      </w:r>
      <w:r w:rsidR="00E44E9B" w:rsidRPr="00E52611">
        <w:t xml:space="preserve"> a statute an unconstit</w:t>
      </w:r>
      <w:r w:rsidR="00227085" w:rsidRPr="00E52611">
        <w:t xml:space="preserve">utional bill of attainder,” “[n]arrow application of a statute to a specific person or class of persons raises suspicion, because the Bill of </w:t>
      </w:r>
      <w:r w:rsidR="00DF0559" w:rsidRPr="00E52611">
        <w:fldChar w:fldCharType="begin"/>
      </w:r>
      <w:r w:rsidR="00E52611" w:rsidRPr="00E52611">
        <w:instrText xml:space="preserve"> ADDIN BA \xc &lt;@$osdv&gt; \xl 16 \s QOQUYW000079 </w:instrText>
      </w:r>
      <w:r w:rsidR="00DF0559" w:rsidRPr="00E52611">
        <w:fldChar w:fldCharType="end"/>
      </w:r>
      <w:bookmarkStart w:id="130" w:name="_BA_Cite_241"/>
      <w:r w:rsidR="00227085" w:rsidRPr="00E52611">
        <w:t>Attainder Clause</w:t>
      </w:r>
      <w:bookmarkEnd w:id="130"/>
      <w:r w:rsidR="00227085" w:rsidRPr="00E52611">
        <w:t xml:space="preserve"> is principally concerned with ‘the </w:t>
      </w:r>
      <w:r w:rsidR="00227085" w:rsidRPr="00E52611">
        <w:rPr>
          <w:i/>
        </w:rPr>
        <w:t xml:space="preserve">singling out </w:t>
      </w:r>
      <w:r w:rsidR="00227085" w:rsidRPr="00E52611">
        <w:t xml:space="preserve">of an individual for legislative prescribed punishment.’” </w:t>
      </w:r>
      <w:r w:rsidR="00DF0559" w:rsidRPr="00E52611">
        <w:fldChar w:fldCharType="begin"/>
      </w:r>
      <w:r w:rsidR="00E52611" w:rsidRPr="00E52611">
        <w:instrText xml:space="preserve"> ADDIN BA \xc &lt;@$cs&gt; \xl 26 \s QOQUYW000036 \xhfl Rep </w:instrText>
      </w:r>
      <w:r w:rsidR="00DF0559" w:rsidRPr="00E52611">
        <w:fldChar w:fldCharType="end"/>
      </w:r>
      <w:r w:rsidR="00227085" w:rsidRPr="00E52611">
        <w:rPr>
          <w:i/>
        </w:rPr>
        <w:t>Foretich</w:t>
      </w:r>
      <w:r w:rsidR="00227085" w:rsidRPr="00E52611">
        <w:t xml:space="preserve">, 351 F.3d at 1224 (quoting </w:t>
      </w:r>
      <w:r w:rsidR="00DF0559" w:rsidRPr="00E52611">
        <w:fldChar w:fldCharType="begin"/>
      </w:r>
      <w:r w:rsidR="00E52611" w:rsidRPr="00E52611">
        <w:instrText xml:space="preserve"> ADDIN BA \xc &lt;@$cs&gt; \xl 37 \s QOQUYW000017 \xhfl Rep \xqt \xpl 1 </w:instrText>
      </w:r>
      <w:r w:rsidR="00DF0559" w:rsidRPr="00E52611">
        <w:fldChar w:fldCharType="end"/>
      </w:r>
      <w:r w:rsidR="00227085" w:rsidRPr="00E52611">
        <w:rPr>
          <w:i/>
        </w:rPr>
        <w:t>Selective Serv. Sys.</w:t>
      </w:r>
      <w:r w:rsidR="00227085" w:rsidRPr="00E52611">
        <w:t xml:space="preserve">, 468 U.S. at 847) (emphasis in original). </w:t>
      </w:r>
    </w:p>
    <w:p w:rsidR="00482316" w:rsidRPr="00E52611" w:rsidRDefault="006040B3" w:rsidP="003567ED">
      <w:pPr>
        <w:spacing w:line="480" w:lineRule="auto"/>
        <w:rPr>
          <w:i/>
        </w:rPr>
      </w:pPr>
      <w:r w:rsidRPr="00E52611">
        <w:tab/>
        <w:t xml:space="preserve">In </w:t>
      </w:r>
      <w:r w:rsidR="00DF0559" w:rsidRPr="00E52611">
        <w:fldChar w:fldCharType="begin"/>
      </w:r>
      <w:r w:rsidR="00E52611" w:rsidRPr="00E52611">
        <w:instrText xml:space="preserve"> ADDIN BA \xc &lt;@$cs&gt; \xl 8 \s QOQUYW000036 </w:instrText>
      </w:r>
      <w:r w:rsidR="00DF0559" w:rsidRPr="00E52611">
        <w:fldChar w:fldCharType="end"/>
      </w:r>
      <w:r w:rsidRPr="00E52611">
        <w:rPr>
          <w:i/>
        </w:rPr>
        <w:t>For</w:t>
      </w:r>
      <w:r w:rsidR="00AA5BB1" w:rsidRPr="00E52611">
        <w:rPr>
          <w:i/>
        </w:rPr>
        <w:t>et</w:t>
      </w:r>
      <w:r w:rsidRPr="00E52611">
        <w:rPr>
          <w:i/>
        </w:rPr>
        <w:t>ich</w:t>
      </w:r>
      <w:r w:rsidRPr="00E52611">
        <w:t>, th</w:t>
      </w:r>
      <w:r w:rsidR="00AF3440" w:rsidRPr="00E52611">
        <w:t xml:space="preserve">e </w:t>
      </w:r>
      <w:r w:rsidR="00920DC6" w:rsidRPr="00E52611">
        <w:t>fact that the disputed statute set a</w:t>
      </w:r>
      <w:r w:rsidR="001D4E33" w:rsidRPr="00E52611">
        <w:t xml:space="preserve"> different</w:t>
      </w:r>
      <w:r w:rsidRPr="00E52611">
        <w:t xml:space="preserve"> standard </w:t>
      </w:r>
      <w:r w:rsidR="001D4E33" w:rsidRPr="00E52611">
        <w:t xml:space="preserve">for obtaining visitation rights </w:t>
      </w:r>
      <w:r w:rsidR="00F610E9" w:rsidRPr="00E52611">
        <w:t xml:space="preserve">in plaintiff’s </w:t>
      </w:r>
      <w:r w:rsidRPr="00E52611">
        <w:t xml:space="preserve">case </w:t>
      </w:r>
      <w:r w:rsidR="00AF3440" w:rsidRPr="00E52611">
        <w:t>than</w:t>
      </w:r>
      <w:r w:rsidRPr="00E52611">
        <w:t xml:space="preserve"> for </w:t>
      </w:r>
      <w:r w:rsidR="00420CF5" w:rsidRPr="00E52611">
        <w:t xml:space="preserve">all </w:t>
      </w:r>
      <w:r w:rsidR="00AF3440" w:rsidRPr="00E52611">
        <w:t xml:space="preserve">other </w:t>
      </w:r>
      <w:r w:rsidR="001D4E33" w:rsidRPr="00E52611">
        <w:t>visitation</w:t>
      </w:r>
      <w:r w:rsidR="00420CF5" w:rsidRPr="00E52611">
        <w:t xml:space="preserve"> cases</w:t>
      </w:r>
      <w:r w:rsidR="00CA659E" w:rsidRPr="00E52611">
        <w:t xml:space="preserve"> </w:t>
      </w:r>
      <w:r w:rsidR="00420CF5" w:rsidRPr="00E52611">
        <w:t xml:space="preserve">demonstrated its punitive nature. </w:t>
      </w:r>
      <w:r w:rsidR="00DF0559" w:rsidRPr="00E52611">
        <w:fldChar w:fldCharType="begin"/>
      </w:r>
      <w:r w:rsidR="00E52611" w:rsidRPr="00E52611">
        <w:instrText xml:space="preserve"> ADDIN BA \xc &lt;@$cs&gt; \xl 16 \s QOQUYW000036 \xhfl Rep </w:instrText>
      </w:r>
      <w:r w:rsidR="00DF0559" w:rsidRPr="00E52611">
        <w:fldChar w:fldCharType="end"/>
      </w:r>
      <w:r w:rsidR="00AF3440" w:rsidRPr="00E52611">
        <w:t>351 F.3d at 1223.</w:t>
      </w:r>
      <w:r w:rsidR="001D4E6E" w:rsidRPr="00E52611">
        <w:rPr>
          <w:i/>
        </w:rPr>
        <w:t xml:space="preserve"> </w:t>
      </w:r>
      <w:r w:rsidR="001D4E6E" w:rsidRPr="00E52611">
        <w:t>By contrast, in</w:t>
      </w:r>
      <w:r w:rsidR="00953E95" w:rsidRPr="00E52611">
        <w:t xml:space="preserve"> </w:t>
      </w:r>
      <w:r w:rsidR="00953E95" w:rsidRPr="00E52611">
        <w:rPr>
          <w:i/>
        </w:rPr>
        <w:t>Selective Service Systems</w:t>
      </w:r>
      <w:r w:rsidR="001D4E6E" w:rsidRPr="00E52611">
        <w:t>,</w:t>
      </w:r>
      <w:r w:rsidR="00953E95" w:rsidRPr="00E52611">
        <w:rPr>
          <w:i/>
        </w:rPr>
        <w:t xml:space="preserve"> </w:t>
      </w:r>
      <w:r w:rsidR="00953E95" w:rsidRPr="00E52611">
        <w:t>the</w:t>
      </w:r>
      <w:r w:rsidR="003A6A25" w:rsidRPr="00E52611">
        <w:t xml:space="preserve"> Court </w:t>
      </w:r>
      <w:r w:rsidR="001D4E6E" w:rsidRPr="00E52611">
        <w:t>observed</w:t>
      </w:r>
      <w:r w:rsidR="003A6A25" w:rsidRPr="00E52611">
        <w:t xml:space="preserve"> that</w:t>
      </w:r>
      <w:r w:rsidR="00953E95" w:rsidRPr="00E52611">
        <w:t xml:space="preserve"> </w:t>
      </w:r>
      <w:r w:rsidR="00190F91" w:rsidRPr="00E52611">
        <w:t xml:space="preserve">statute’s denial of “benefits to innocent as well as willful nonregistrants,” revealed its nonpunitive spirit. </w:t>
      </w:r>
      <w:r w:rsidR="00DF0559" w:rsidRPr="00E52611">
        <w:fldChar w:fldCharType="begin"/>
      </w:r>
      <w:r w:rsidR="00E52611" w:rsidRPr="00E52611">
        <w:instrText xml:space="preserve"> ADDIN BA \xc &lt;@$cs&gt; \xl 15 \s QOQUYW000017 \xhfl Rep </w:instrText>
      </w:r>
      <w:r w:rsidR="00DF0559" w:rsidRPr="00E52611">
        <w:fldChar w:fldCharType="end"/>
      </w:r>
      <w:r w:rsidR="007B5241" w:rsidRPr="00E52611">
        <w:t>468 U.S. at</w:t>
      </w:r>
      <w:r w:rsidR="000E59EA" w:rsidRPr="00E52611">
        <w:t xml:space="preserve"> 855</w:t>
      </w:r>
      <w:r w:rsidR="00227085" w:rsidRPr="00E52611">
        <w:t xml:space="preserve">. </w:t>
      </w:r>
      <w:r w:rsidR="00873E8B" w:rsidRPr="00E52611">
        <w:rPr>
          <w:rFonts w:eastAsia="Times New Roman"/>
          <w:lang w:eastAsia="en-US"/>
        </w:rPr>
        <w:t xml:space="preserve"> </w:t>
      </w:r>
    </w:p>
    <w:p w:rsidR="00287AF7" w:rsidRPr="00E52611" w:rsidRDefault="003F5E51" w:rsidP="003567ED">
      <w:pPr>
        <w:spacing w:line="480" w:lineRule="auto"/>
        <w:rPr>
          <w:i/>
        </w:rPr>
      </w:pPr>
      <w:r w:rsidRPr="00E52611">
        <w:tab/>
      </w:r>
      <w:r w:rsidR="00DA51D3" w:rsidRPr="00E52611">
        <w:t>The district court found it significant that the government o</w:t>
      </w:r>
      <w:r w:rsidR="00852539" w:rsidRPr="00E52611">
        <w:t>ffered no “</w:t>
      </w:r>
      <w:r w:rsidR="000A4145" w:rsidRPr="00E52611">
        <w:t xml:space="preserve">unique reason to treat ACORN differently from other contractors accused of </w:t>
      </w:r>
      <w:r w:rsidR="000A4145" w:rsidRPr="00E52611">
        <w:lastRenderedPageBreak/>
        <w:t>serious misconduct</w:t>
      </w:r>
      <w:r w:rsidR="00852539" w:rsidRPr="00E52611">
        <w:t xml:space="preserve">.” </w:t>
      </w:r>
      <w:r w:rsidR="00DF0559" w:rsidRPr="00E52611">
        <w:fldChar w:fldCharType="begin"/>
      </w:r>
      <w:r w:rsidR="00E52611" w:rsidRPr="00E52611">
        <w:instrText xml:space="preserve"> ADDIN BA \xc &lt;@rec&gt; \xl 10 \s QOQUYW000095 \xpl 1 \l "(R. at 42)" </w:instrText>
      </w:r>
      <w:r w:rsidR="00DF0559" w:rsidRPr="00E52611">
        <w:fldChar w:fldCharType="end"/>
      </w:r>
      <w:bookmarkStart w:id="131" w:name="_BA_Cite_242"/>
      <w:r w:rsidR="000A4145" w:rsidRPr="00E52611">
        <w:t>(R. at 42)</w:t>
      </w:r>
      <w:bookmarkEnd w:id="131"/>
      <w:r w:rsidR="000A4145" w:rsidRPr="00E52611">
        <w:t xml:space="preserve">. </w:t>
      </w:r>
      <w:r w:rsidRPr="00E52611">
        <w:t xml:space="preserve">Congress has previously continued to fund corporations engaged in allegedly illegal activity. </w:t>
      </w:r>
      <w:r w:rsidR="00951F38" w:rsidRPr="00E52611">
        <w:t>For instance,</w:t>
      </w:r>
      <w:r w:rsidR="00010F10" w:rsidRPr="00E52611">
        <w:t xml:space="preserve"> Congress continued to fund</w:t>
      </w:r>
      <w:r w:rsidRPr="00E52611">
        <w:t xml:space="preserve"> Halliburton subsidiary </w:t>
      </w:r>
      <w:r w:rsidR="00AA5BB1" w:rsidRPr="00E52611">
        <w:t xml:space="preserve">Kellogg, Brown, and Root (KBR) </w:t>
      </w:r>
      <w:r w:rsidRPr="00E52611">
        <w:t>despite grave allegations of wrongdoing. Senator Durbin noted this during the debates surroundi</w:t>
      </w:r>
      <w:r w:rsidR="00395B12" w:rsidRPr="00E52611">
        <w:t>ng the appropriations b</w:t>
      </w:r>
      <w:r w:rsidR="00DC6D85" w:rsidRPr="00E52611">
        <w:t xml:space="preserve">ills. </w:t>
      </w:r>
      <w:r w:rsidR="00DF0559" w:rsidRPr="00E52611">
        <w:fldChar w:fldCharType="begin"/>
      </w:r>
      <w:r w:rsidR="00E52611" w:rsidRPr="00E52611">
        <w:instrText xml:space="preserve"> ADDIN BA \xc &lt;@leg&gt; \xl 21 \s QOQUYW000054 \l "155 Cong. Rec. S10181" </w:instrText>
      </w:r>
      <w:r w:rsidR="00DF0559" w:rsidRPr="00E52611">
        <w:fldChar w:fldCharType="end"/>
      </w:r>
      <w:bookmarkStart w:id="132" w:name="_BA_Cite_243"/>
      <w:r w:rsidRPr="00E52611">
        <w:t>155 Cong. Rec. S10181</w:t>
      </w:r>
      <w:bookmarkEnd w:id="132"/>
      <w:r w:rsidRPr="00E52611">
        <w:t xml:space="preserve">. He informed the Senate that </w:t>
      </w:r>
      <w:r w:rsidR="00AA5BB1" w:rsidRPr="00E52611">
        <w:t xml:space="preserve">KBR </w:t>
      </w:r>
      <w:r w:rsidRPr="00E52611">
        <w:t>“was found to have been involved in conduct that led to shoddy workmanship and which cost the life of an American soldier by electrocution</w:t>
      </w:r>
      <w:r w:rsidR="008A084F" w:rsidRPr="00E52611">
        <w:t>,”</w:t>
      </w:r>
      <w:r w:rsidR="004E1010" w:rsidRPr="00E52611">
        <w:t xml:space="preserve"> and</w:t>
      </w:r>
      <w:r w:rsidRPr="00E52611">
        <w:t xml:space="preserve"> </w:t>
      </w:r>
      <w:r w:rsidR="00731638" w:rsidRPr="00E52611">
        <w:t xml:space="preserve">was </w:t>
      </w:r>
      <w:r w:rsidRPr="00E52611">
        <w:t>“involved in supplying water supplies and sources to our troops that were dangerous</w:t>
      </w:r>
      <w:r w:rsidR="004E1010" w:rsidRPr="00E52611">
        <w:t>.</w:t>
      </w:r>
      <w:r w:rsidRPr="00E52611">
        <w:t xml:space="preserve">” </w:t>
      </w:r>
      <w:r w:rsidR="00DF0559" w:rsidRPr="00E52611">
        <w:fldChar w:fldCharType="begin"/>
      </w:r>
      <w:r w:rsidR="00E52611" w:rsidRPr="00E52611">
        <w:instrText xml:space="preserve"> ADDIN BA \xc &lt;@$leg&gt; \xl 21 \s QOQUYW000054 </w:instrText>
      </w:r>
      <w:r w:rsidR="00DF0559" w:rsidRPr="00E52611">
        <w:fldChar w:fldCharType="end"/>
      </w:r>
      <w:r w:rsidRPr="00E52611">
        <w:t xml:space="preserve">155 Cong. Rec. S10181. Yet Congress did not </w:t>
      </w:r>
      <w:r w:rsidR="00434338" w:rsidRPr="00E52611">
        <w:t>stop funding</w:t>
      </w:r>
      <w:r w:rsidRPr="00E52611">
        <w:t xml:space="preserve"> Halliburton or </w:t>
      </w:r>
      <w:r w:rsidR="00395B12" w:rsidRPr="00E52611">
        <w:t>KBR</w:t>
      </w:r>
      <w:r w:rsidRPr="00E52611">
        <w:t xml:space="preserve">. In fact, Halliburton was the United States’ sole-source contractor during the Iraq War. </w:t>
      </w:r>
      <w:r w:rsidR="00DF0559" w:rsidRPr="00E52611">
        <w:fldChar w:fldCharType="begin"/>
      </w:r>
      <w:r w:rsidR="00E52611" w:rsidRPr="00E52611">
        <w:instrText xml:space="preserve"> ADDIN BA \xc &lt;@$id&gt; \xl 3 \s ID </w:instrText>
      </w:r>
      <w:r w:rsidR="00DF0559" w:rsidRPr="00E52611">
        <w:fldChar w:fldCharType="end"/>
      </w:r>
      <w:r w:rsidRPr="00E52611">
        <w:rPr>
          <w:i/>
        </w:rPr>
        <w:t xml:space="preserve">Id. </w:t>
      </w:r>
    </w:p>
    <w:p w:rsidR="004413D9" w:rsidRPr="00E52611" w:rsidRDefault="00124A6A" w:rsidP="00124A6A">
      <w:pPr>
        <w:pStyle w:val="Heading4"/>
        <w:ind w:left="2880" w:hanging="720"/>
      </w:pPr>
      <w:r w:rsidRPr="00E52611">
        <w:rPr>
          <w:i w:val="0"/>
        </w:rPr>
        <w:t>c.</w:t>
      </w:r>
      <w:r w:rsidRPr="00E52611">
        <w:tab/>
      </w:r>
      <w:r w:rsidR="00B27979" w:rsidRPr="00E52611">
        <w:t>Con</w:t>
      </w:r>
      <w:r w:rsidRPr="00E52611">
        <w:t>gress passed the appropriations l</w:t>
      </w:r>
      <w:r w:rsidR="00B27979" w:rsidRPr="00E52611">
        <w:t>aw</w:t>
      </w:r>
      <w:r w:rsidRPr="00E52611">
        <w:t>s</w:t>
      </w:r>
      <w:r w:rsidR="00951F38" w:rsidRPr="00E52611">
        <w:t xml:space="preserve"> despite less </w:t>
      </w:r>
      <w:r w:rsidR="00B27979" w:rsidRPr="00E52611">
        <w:t xml:space="preserve">burdensome alternatives </w:t>
      </w:r>
    </w:p>
    <w:p w:rsidR="00692853" w:rsidRPr="00E52611" w:rsidRDefault="00692853" w:rsidP="00692853"/>
    <w:p w:rsidR="00D05FEB" w:rsidRPr="00E52611" w:rsidRDefault="00646784" w:rsidP="00692853">
      <w:pPr>
        <w:spacing w:line="480" w:lineRule="auto"/>
      </w:pPr>
      <w:r w:rsidRPr="00E52611">
        <w:rPr>
          <w:b/>
        </w:rPr>
        <w:tab/>
      </w:r>
      <w:r w:rsidRPr="00E52611">
        <w:t>The p</w:t>
      </w:r>
      <w:r w:rsidR="00951F38" w:rsidRPr="00E52611">
        <w:t>unitive</w:t>
      </w:r>
      <w:r w:rsidRPr="00E52611">
        <w:t xml:space="preserve"> nature of </w:t>
      </w:r>
      <w:r w:rsidR="00613DB5" w:rsidRPr="00E52611">
        <w:t>the appropriations l</w:t>
      </w:r>
      <w:r w:rsidR="00992074" w:rsidRPr="00E52611">
        <w:t>aws</w:t>
      </w:r>
      <w:r w:rsidRPr="00E52611">
        <w:t xml:space="preserve"> is further evidenced by the existence of less burdensome alternatives. </w:t>
      </w:r>
      <w:r w:rsidR="00613DB5" w:rsidRPr="00E52611">
        <w:rPr>
          <w:i/>
        </w:rPr>
        <w:t xml:space="preserve">See </w:t>
      </w:r>
      <w:r w:rsidR="00DF0559" w:rsidRPr="00E52611">
        <w:fldChar w:fldCharType="begin"/>
      </w:r>
      <w:r w:rsidR="00E52611" w:rsidRPr="00E52611">
        <w:instrText xml:space="preserve"> ADDIN BA \xc &lt;@$cs&gt; \xl 28 \s QOQUYW000018 \xhfl Rep </w:instrText>
      </w:r>
      <w:r w:rsidR="00DF0559" w:rsidRPr="00E52611">
        <w:fldChar w:fldCharType="end"/>
      </w:r>
      <w:r w:rsidR="00B01E83" w:rsidRPr="00E52611">
        <w:rPr>
          <w:i/>
        </w:rPr>
        <w:t>Con. Edison</w:t>
      </w:r>
      <w:r w:rsidR="00B01E83" w:rsidRPr="00E52611">
        <w:t xml:space="preserve">, 292 F.3d at 354.  </w:t>
      </w:r>
      <w:r w:rsidR="00FC0073" w:rsidRPr="00E52611">
        <w:t xml:space="preserve">In </w:t>
      </w:r>
      <w:r w:rsidR="00DF0559" w:rsidRPr="00E52611">
        <w:fldChar w:fldCharType="begin"/>
      </w:r>
      <w:r w:rsidR="00E52611" w:rsidRPr="00E52611">
        <w:instrText xml:space="preserve"> ADDIN BA \xc &lt;@$cs&gt; \xl 11 \s QOQUYW000018 </w:instrText>
      </w:r>
      <w:r w:rsidR="00DF0559" w:rsidRPr="00E52611">
        <w:fldChar w:fldCharType="end"/>
      </w:r>
      <w:r w:rsidR="00FC0073" w:rsidRPr="00E52611">
        <w:rPr>
          <w:i/>
        </w:rPr>
        <w:t>Con. Ed</w:t>
      </w:r>
      <w:r w:rsidR="00B01E83" w:rsidRPr="00E52611">
        <w:rPr>
          <w:i/>
        </w:rPr>
        <w:t>ison</w:t>
      </w:r>
      <w:r w:rsidR="00FC0073" w:rsidRPr="00E52611">
        <w:t>, the existence of less burdenso</w:t>
      </w:r>
      <w:r w:rsidR="000A4145" w:rsidRPr="00E52611">
        <w:t>m</w:t>
      </w:r>
      <w:r w:rsidR="00B01E83" w:rsidRPr="00E52611">
        <w:t>e alternatives helped demonstrat</w:t>
      </w:r>
      <w:r w:rsidR="00FC0073" w:rsidRPr="00E52611">
        <w:t xml:space="preserve">e the legislature’s punitive intent. </w:t>
      </w:r>
      <w:r w:rsidR="00DF0559" w:rsidRPr="00E52611">
        <w:fldChar w:fldCharType="begin"/>
      </w:r>
      <w:r w:rsidR="00E52611" w:rsidRPr="00E52611">
        <w:instrText xml:space="preserve"> ADDIN BA \xc &lt;@$id&gt; \xl 3 \s ID </w:instrText>
      </w:r>
      <w:r w:rsidR="00DF0559" w:rsidRPr="00E52611">
        <w:fldChar w:fldCharType="end"/>
      </w:r>
      <w:r w:rsidR="00B01E83" w:rsidRPr="00E52611">
        <w:rPr>
          <w:i/>
        </w:rPr>
        <w:t xml:space="preserve">Id. </w:t>
      </w:r>
      <w:r w:rsidR="00FC0073" w:rsidRPr="00E52611">
        <w:t xml:space="preserve"> </w:t>
      </w:r>
    </w:p>
    <w:p w:rsidR="00D549E1" w:rsidRPr="00E52611" w:rsidRDefault="00D05FEB" w:rsidP="00692853">
      <w:pPr>
        <w:spacing w:line="480" w:lineRule="auto"/>
      </w:pPr>
      <w:r w:rsidRPr="00E52611">
        <w:tab/>
      </w:r>
      <w:r w:rsidR="0007495F" w:rsidRPr="00E52611">
        <w:t xml:space="preserve">In fact, </w:t>
      </w:r>
      <w:r w:rsidR="00646784" w:rsidRPr="00E52611">
        <w:t xml:space="preserve">a </w:t>
      </w:r>
      <w:r w:rsidR="00893984" w:rsidRPr="00E52611">
        <w:t xml:space="preserve">comprehensive regulatory scheme </w:t>
      </w:r>
      <w:r w:rsidR="009E090F" w:rsidRPr="00E52611">
        <w:t>describes</w:t>
      </w:r>
      <w:r w:rsidR="009F6C98" w:rsidRPr="00E52611">
        <w:t xml:space="preserve"> </w:t>
      </w:r>
      <w:r w:rsidR="009222FC" w:rsidRPr="00E52611">
        <w:t xml:space="preserve">methods for suspending </w:t>
      </w:r>
      <w:r w:rsidR="00646784" w:rsidRPr="00E52611">
        <w:t xml:space="preserve">federal contracts. </w:t>
      </w:r>
      <w:r w:rsidR="00646784" w:rsidRPr="00E52611">
        <w:rPr>
          <w:i/>
        </w:rPr>
        <w:t xml:space="preserve">See, e.g., </w:t>
      </w:r>
      <w:r w:rsidR="00DF0559" w:rsidRPr="00E52611">
        <w:fldChar w:fldCharType="begin"/>
      </w:r>
      <w:r w:rsidR="00E52611" w:rsidRPr="00E52611">
        <w:instrText xml:space="preserve"> ADDIN BA \xc &lt;@reg&gt; \xl 33 \s QOQUYW000055 \l "2 C.F.R. Ch. 1, Part 180, 180.705" </w:instrText>
      </w:r>
      <w:r w:rsidR="00DF0559" w:rsidRPr="00E52611">
        <w:fldChar w:fldCharType="end"/>
      </w:r>
      <w:bookmarkStart w:id="133" w:name="_BA_Cite_244"/>
      <w:r w:rsidR="00646784" w:rsidRPr="00E52611">
        <w:t>2 C.F.R. Ch. 1, Part 180</w:t>
      </w:r>
      <w:r w:rsidR="00522921" w:rsidRPr="00E52611">
        <w:t>, 180.705</w:t>
      </w:r>
      <w:bookmarkEnd w:id="133"/>
      <w:r w:rsidR="00646784" w:rsidRPr="00E52611">
        <w:t xml:space="preserve">. </w:t>
      </w:r>
      <w:r w:rsidR="00B40F68" w:rsidRPr="00E52611">
        <w:t xml:space="preserve">The district </w:t>
      </w:r>
      <w:r w:rsidR="006703B0" w:rsidRPr="00E52611">
        <w:t>court correctly asserted</w:t>
      </w:r>
      <w:r w:rsidR="00B40F68" w:rsidRPr="00E52611">
        <w:t xml:space="preserve"> </w:t>
      </w:r>
      <w:r w:rsidR="006703B0" w:rsidRPr="00E52611">
        <w:t xml:space="preserve">that </w:t>
      </w:r>
      <w:r w:rsidR="00B40F68" w:rsidRPr="00E52611">
        <w:t xml:space="preserve">“the existence of these regulations militates against the need for draconian, emergency action by Congress.” </w:t>
      </w:r>
      <w:r w:rsidR="00DF0559" w:rsidRPr="00E52611">
        <w:fldChar w:fldCharType="begin"/>
      </w:r>
      <w:r w:rsidR="00E52611" w:rsidRPr="00E52611">
        <w:instrText xml:space="preserve"> ADDIN BA \xc &lt;@rec&gt; \xl 10 \s QOQUYW000096 \xpl 1 \l "(R. at 41)" </w:instrText>
      </w:r>
      <w:r w:rsidR="00DF0559" w:rsidRPr="00E52611">
        <w:fldChar w:fldCharType="end"/>
      </w:r>
      <w:bookmarkStart w:id="134" w:name="_BA_Cite_245"/>
      <w:r w:rsidR="00B40F68" w:rsidRPr="00E52611">
        <w:t>(R. at 41)</w:t>
      </w:r>
      <w:bookmarkEnd w:id="134"/>
      <w:r w:rsidR="00B40F68" w:rsidRPr="00E52611">
        <w:t xml:space="preserve">. </w:t>
      </w:r>
      <w:r w:rsidR="00522921" w:rsidRPr="00E52611">
        <w:t xml:space="preserve">The relevant regulations </w:t>
      </w:r>
      <w:r w:rsidR="00B40F68" w:rsidRPr="00E52611">
        <w:t>allow</w:t>
      </w:r>
      <w:r w:rsidR="00522921" w:rsidRPr="00E52611">
        <w:t xml:space="preserve"> for “immediate action” if “necessary</w:t>
      </w:r>
      <w:r w:rsidR="00B40F68" w:rsidRPr="00E52611">
        <w:t xml:space="preserve"> to protect the public interest.</w:t>
      </w:r>
      <w:r w:rsidR="00522921" w:rsidRPr="00E52611">
        <w:t>”</w:t>
      </w:r>
      <w:r w:rsidR="00B40F68" w:rsidRPr="00E52611">
        <w:t xml:space="preserve"> </w:t>
      </w:r>
      <w:r w:rsidR="0082623A" w:rsidRPr="00E52611">
        <w:t>(</w:t>
      </w:r>
      <w:r w:rsidR="00DF0559" w:rsidRPr="00E52611">
        <w:fldChar w:fldCharType="begin"/>
      </w:r>
      <w:r w:rsidR="00E52611" w:rsidRPr="00E52611">
        <w:instrText xml:space="preserve"> ADDIN BA \xc &lt;@$id&gt; \xl 3 \s ID \xpl 1 </w:instrText>
      </w:r>
      <w:r w:rsidR="00DF0559" w:rsidRPr="00E52611">
        <w:fldChar w:fldCharType="end"/>
      </w:r>
      <w:r w:rsidR="0082623A" w:rsidRPr="00E52611">
        <w:rPr>
          <w:i/>
        </w:rPr>
        <w:t>Id.</w:t>
      </w:r>
      <w:r w:rsidR="0082623A" w:rsidRPr="00E52611">
        <w:t xml:space="preserve">). </w:t>
      </w:r>
      <w:r w:rsidR="00B40F68" w:rsidRPr="00E52611">
        <w:t xml:space="preserve">Following these regulations would have </w:t>
      </w:r>
      <w:r w:rsidR="00B40F68" w:rsidRPr="00E52611">
        <w:lastRenderedPageBreak/>
        <w:t>achie</w:t>
      </w:r>
      <w:r w:rsidR="00855548" w:rsidRPr="00E52611">
        <w:t>ved Congress’</w:t>
      </w:r>
      <w:r w:rsidR="008C3420" w:rsidRPr="00E52611">
        <w:t xml:space="preserve"> </w:t>
      </w:r>
      <w:r w:rsidR="00D65891" w:rsidRPr="00E52611">
        <w:t>goal</w:t>
      </w:r>
      <w:r w:rsidR="008C3420" w:rsidRPr="00E52611">
        <w:t xml:space="preserve"> of</w:t>
      </w:r>
      <w:r w:rsidR="00B40F68" w:rsidRPr="00E52611">
        <w:t xml:space="preserve"> denying </w:t>
      </w:r>
      <w:r w:rsidR="008C3420" w:rsidRPr="00E52611">
        <w:t>ACORN</w:t>
      </w:r>
      <w:r w:rsidR="00B40F68" w:rsidRPr="00E52611">
        <w:t xml:space="preserve"> funding without </w:t>
      </w:r>
      <w:r w:rsidR="005E7D56" w:rsidRPr="00E52611">
        <w:t>burdening</w:t>
      </w:r>
      <w:r w:rsidR="00522921" w:rsidRPr="00E52611">
        <w:t xml:space="preserve"> </w:t>
      </w:r>
      <w:r w:rsidR="009C351A" w:rsidRPr="00E52611">
        <w:t>ACORN with the considerable weight of being publicly signaled</w:t>
      </w:r>
      <w:r w:rsidR="00D57339" w:rsidRPr="00E52611">
        <w:t xml:space="preserve"> out as unworthy of federal dollars</w:t>
      </w:r>
      <w:r w:rsidR="009C351A" w:rsidRPr="00E52611">
        <w:t xml:space="preserve"> in five separate appropriations bills. </w:t>
      </w:r>
      <w:r w:rsidR="009C351A" w:rsidRPr="00E52611">
        <w:rPr>
          <w:i/>
        </w:rPr>
        <w:t xml:space="preserve">See </w:t>
      </w:r>
      <w:r w:rsidR="00DF0559" w:rsidRPr="00E52611">
        <w:fldChar w:fldCharType="begin"/>
      </w:r>
      <w:r w:rsidR="00E52611" w:rsidRPr="00E52611">
        <w:instrText xml:space="preserve"> ADDIN BA \xc &lt;@$id&gt; \xl 3 \s ID </w:instrText>
      </w:r>
      <w:r w:rsidR="00DF0559" w:rsidRPr="00E52611">
        <w:fldChar w:fldCharType="end"/>
      </w:r>
      <w:bookmarkStart w:id="135" w:name="_BA_Cite_246"/>
      <w:r w:rsidR="009C351A" w:rsidRPr="00E52611">
        <w:rPr>
          <w:i/>
        </w:rPr>
        <w:t>id.</w:t>
      </w:r>
      <w:bookmarkEnd w:id="135"/>
      <w:r w:rsidR="00522921" w:rsidRPr="00E52611">
        <w:t xml:space="preserve"> </w:t>
      </w:r>
    </w:p>
    <w:p w:rsidR="00E463A7" w:rsidRPr="00E52611" w:rsidRDefault="008C3420" w:rsidP="00DE4AFA">
      <w:pPr>
        <w:pStyle w:val="Heading3"/>
        <w:numPr>
          <w:ilvl w:val="0"/>
          <w:numId w:val="14"/>
        </w:numPr>
        <w:ind w:hanging="720"/>
      </w:pPr>
      <w:bookmarkStart w:id="136" w:name="_Toc190667451"/>
      <w:r w:rsidRPr="00E52611">
        <w:t xml:space="preserve">The </w:t>
      </w:r>
      <w:r w:rsidR="00740534" w:rsidRPr="00E52611">
        <w:t xml:space="preserve">Legislative History Establishes that Congress Intended the Appropriations Laws </w:t>
      </w:r>
      <w:r w:rsidR="004038C7" w:rsidRPr="00E52611">
        <w:t>as Punishment</w:t>
      </w:r>
      <w:bookmarkEnd w:id="136"/>
      <w:r w:rsidR="00740534" w:rsidRPr="00E52611">
        <w:t xml:space="preserve"> </w:t>
      </w:r>
    </w:p>
    <w:p w:rsidR="00417C82" w:rsidRPr="00E52611" w:rsidRDefault="00417C82" w:rsidP="00417C82"/>
    <w:p w:rsidR="00AA7075" w:rsidRPr="00E52611" w:rsidRDefault="00DF3D02" w:rsidP="002E03B1">
      <w:pPr>
        <w:pStyle w:val="ListParagraph"/>
        <w:spacing w:line="480" w:lineRule="auto"/>
        <w:ind w:left="0" w:firstLine="720"/>
        <w:rPr>
          <w:b/>
        </w:rPr>
      </w:pPr>
      <w:r w:rsidRPr="00E52611">
        <w:t xml:space="preserve">Legislative history is probative of punitive intent. </w:t>
      </w:r>
      <w:r w:rsidR="00DF0559" w:rsidRPr="00E52611">
        <w:fldChar w:fldCharType="begin"/>
      </w:r>
      <w:r w:rsidR="00E52611" w:rsidRPr="00E52611">
        <w:instrText xml:space="preserve"> ADDIN BA \xc &lt;@$cs&gt; \xl 22 \s QOQUYW000015 \xhfl Rep </w:instrText>
      </w:r>
      <w:r w:rsidR="00DF0559" w:rsidRPr="00E52611">
        <w:fldChar w:fldCharType="end"/>
      </w:r>
      <w:r w:rsidRPr="00E52611">
        <w:rPr>
          <w:i/>
        </w:rPr>
        <w:t>Nixon</w:t>
      </w:r>
      <w:r w:rsidRPr="00E52611">
        <w:t xml:space="preserve">, 433 U.S. at 480. </w:t>
      </w:r>
      <w:r w:rsidR="00EF49E7" w:rsidRPr="00E52611">
        <w:t>Indeed,</w:t>
      </w:r>
      <w:r w:rsidRPr="00E52611">
        <w:t xml:space="preserve"> the “major concern that prompted the bill of attainder prohibition” was “the fear that the legislature, in seeking to pander to an inflamed popular constituency, will find it expedient openly to assume the mantle of judge or worse still, the lynch mob.” </w:t>
      </w:r>
      <w:r w:rsidR="00DF0559" w:rsidRPr="00E52611">
        <w:fldChar w:fldCharType="begin"/>
      </w:r>
      <w:r w:rsidR="00E52611" w:rsidRPr="00E52611">
        <w:instrText xml:space="preserve"> ADDIN BA \xc &lt;@$id&gt; \xl 3 \s ID </w:instrText>
      </w:r>
      <w:r w:rsidR="00DF0559" w:rsidRPr="00E52611">
        <w:fldChar w:fldCharType="end"/>
      </w:r>
      <w:r w:rsidRPr="00E52611">
        <w:rPr>
          <w:i/>
        </w:rPr>
        <w:t xml:space="preserve">Id. </w:t>
      </w:r>
      <w:r w:rsidRPr="00E52611">
        <w:t xml:space="preserve">(internal quotations omitted). </w:t>
      </w:r>
      <w:r w:rsidR="00CC2DA5" w:rsidRPr="00E52611">
        <w:t>The</w:t>
      </w:r>
      <w:r w:rsidR="009B5F92" w:rsidRPr="00E52611">
        <w:t xml:space="preserve"> </w:t>
      </w:r>
      <w:r w:rsidR="00E463A7" w:rsidRPr="00E52611">
        <w:t xml:space="preserve">legislative record </w:t>
      </w:r>
      <w:r w:rsidR="009B5F92" w:rsidRPr="00E52611">
        <w:t>“</w:t>
      </w:r>
      <w:r w:rsidR="00E463A7" w:rsidRPr="00E52611">
        <w:t>by itself is insufficient evidence for classifying a statute as a bill of attainder unless the record reflect</w:t>
      </w:r>
      <w:r w:rsidR="003622E6" w:rsidRPr="00E52611">
        <w:t>s</w:t>
      </w:r>
      <w:r w:rsidR="00E463A7" w:rsidRPr="00E52611">
        <w:t xml:space="preserve"> overwhelmingly clear legislative intent to punish.” </w:t>
      </w:r>
      <w:r w:rsidR="00DF0559" w:rsidRPr="00E52611">
        <w:fldChar w:fldCharType="begin"/>
      </w:r>
      <w:r w:rsidR="00E52611" w:rsidRPr="00E52611">
        <w:instrText xml:space="preserve"> ADDIN BA \xc &lt;@$cs&gt; \xl 28 \s QOQUYW000018 \xhfl Rep </w:instrText>
      </w:r>
      <w:r w:rsidR="00DF0559" w:rsidRPr="00E52611">
        <w:fldChar w:fldCharType="end"/>
      </w:r>
      <w:r w:rsidR="00E463A7" w:rsidRPr="00E52611">
        <w:rPr>
          <w:i/>
        </w:rPr>
        <w:t>Con. Edison</w:t>
      </w:r>
      <w:r w:rsidR="00E463A7" w:rsidRPr="00E52611">
        <w:t xml:space="preserve">, 292 F.3d at 354. The </w:t>
      </w:r>
      <w:r w:rsidR="00584A22" w:rsidRPr="00E52611">
        <w:t xml:space="preserve">congressional </w:t>
      </w:r>
      <w:r w:rsidR="00E463A7" w:rsidRPr="00E52611">
        <w:t>record in this case meets this high bar.</w:t>
      </w:r>
    </w:p>
    <w:p w:rsidR="00853F19" w:rsidRPr="00E52611" w:rsidRDefault="00BF5784" w:rsidP="0074380A">
      <w:pPr>
        <w:spacing w:line="480" w:lineRule="auto"/>
      </w:pPr>
      <w:r w:rsidRPr="00E52611">
        <w:rPr>
          <w:b/>
        </w:rPr>
        <w:tab/>
      </w:r>
      <w:r w:rsidR="00AF48ED" w:rsidRPr="00E52611">
        <w:t xml:space="preserve">Isolated statements expressing distrust </w:t>
      </w:r>
      <w:r w:rsidR="00951DC2" w:rsidRPr="00E52611">
        <w:t xml:space="preserve">or indignation do not </w:t>
      </w:r>
      <w:r w:rsidR="00255853" w:rsidRPr="00E52611">
        <w:t>suffice to establish punitive intent</w:t>
      </w:r>
      <w:r w:rsidR="00AF48ED" w:rsidRPr="00E52611">
        <w:t xml:space="preserve">. </w:t>
      </w:r>
      <w:r w:rsidRPr="00E52611">
        <w:t xml:space="preserve">In </w:t>
      </w:r>
      <w:r w:rsidRPr="00E52611">
        <w:rPr>
          <w:i/>
        </w:rPr>
        <w:t>Selective Service Systems</w:t>
      </w:r>
      <w:r w:rsidRPr="00E52611">
        <w:t>, the</w:t>
      </w:r>
      <w:r w:rsidR="00241E91" w:rsidRPr="00E52611">
        <w:t xml:space="preserve"> Court held that there was insufficient evidence in the legislative r</w:t>
      </w:r>
      <w:r w:rsidR="008C3420" w:rsidRPr="00E52611">
        <w:t xml:space="preserve">ecord </w:t>
      </w:r>
      <w:r w:rsidR="00855548" w:rsidRPr="00E52611">
        <w:t>evidencing</w:t>
      </w:r>
      <w:r w:rsidR="00241E91" w:rsidRPr="00E52611">
        <w:t xml:space="preserve"> Congress’ intent to punish </w:t>
      </w:r>
      <w:r w:rsidR="00A72C37" w:rsidRPr="00E52611">
        <w:t xml:space="preserve">those who </w:t>
      </w:r>
      <w:r w:rsidR="008C3420" w:rsidRPr="00E52611">
        <w:t xml:space="preserve">had </w:t>
      </w:r>
      <w:r w:rsidR="00A72C37" w:rsidRPr="00E52611">
        <w:t>intentionally failed to register for the draft</w:t>
      </w:r>
      <w:r w:rsidR="00241E91" w:rsidRPr="00E52611">
        <w:t xml:space="preserve">. </w:t>
      </w:r>
      <w:r w:rsidR="00DF0559" w:rsidRPr="00E52611">
        <w:fldChar w:fldCharType="begin"/>
      </w:r>
      <w:r w:rsidR="00E52611" w:rsidRPr="00E52611">
        <w:instrText xml:space="preserve"> ADDIN BA \xc &lt;@$cs&gt; \xl 15 \s QOQUYW000017 \xhfl Rep </w:instrText>
      </w:r>
      <w:r w:rsidR="00DF0559" w:rsidRPr="00E52611">
        <w:fldChar w:fldCharType="end"/>
      </w:r>
      <w:r w:rsidR="00241E91" w:rsidRPr="00E52611">
        <w:t xml:space="preserve">468 U.S. at 855. Rather, the </w:t>
      </w:r>
      <w:r w:rsidRPr="00E52611">
        <w:t>bills’ “proponents indicated that they intended to regulate all nonregistrants,</w:t>
      </w:r>
      <w:r w:rsidR="008C3420" w:rsidRPr="00E52611">
        <w:t>”</w:t>
      </w:r>
      <w:r w:rsidRPr="00E52611">
        <w:t xml:space="preserve"> </w:t>
      </w:r>
      <w:r w:rsidR="008C3420" w:rsidRPr="00E52611">
        <w:t>not only</w:t>
      </w:r>
      <w:r w:rsidRPr="00E52611">
        <w:t xml:space="preserve"> intentional nonregistrants</w:t>
      </w:r>
      <w:r w:rsidR="008C3420" w:rsidRPr="00E52611">
        <w:t xml:space="preserve">. </w:t>
      </w:r>
      <w:r w:rsidR="00DF0559" w:rsidRPr="00E52611">
        <w:fldChar w:fldCharType="begin"/>
      </w:r>
      <w:r w:rsidR="00E52611" w:rsidRPr="00E52611">
        <w:instrText xml:space="preserve"> ADDIN BA \xc &lt;@$id&gt; \xl 3 \s ID </w:instrText>
      </w:r>
      <w:r w:rsidR="00DF0559" w:rsidRPr="00E52611">
        <w:fldChar w:fldCharType="end"/>
      </w:r>
      <w:r w:rsidR="00241E91" w:rsidRPr="00E52611">
        <w:rPr>
          <w:i/>
        </w:rPr>
        <w:t>Id.</w:t>
      </w:r>
      <w:r w:rsidRPr="00E52611">
        <w:t xml:space="preserve"> </w:t>
      </w:r>
      <w:r w:rsidR="00B5538B" w:rsidRPr="00E52611">
        <w:t>Though there were “several isolated statements expressing” indignation at intentional nonregistrants, the Court held that these s</w:t>
      </w:r>
      <w:r w:rsidR="00F92165" w:rsidRPr="00E52611">
        <w:t xml:space="preserve">tatements did not amount to </w:t>
      </w:r>
      <w:r w:rsidR="00187994" w:rsidRPr="00E52611">
        <w:t xml:space="preserve">the </w:t>
      </w:r>
      <w:r w:rsidR="00B5538B" w:rsidRPr="00E52611">
        <w:t xml:space="preserve">“unmistakable evidence” required to establish punitive intent. </w:t>
      </w:r>
      <w:r w:rsidR="00DF0559" w:rsidRPr="00E52611">
        <w:lastRenderedPageBreak/>
        <w:fldChar w:fldCharType="begin"/>
      </w:r>
      <w:r w:rsidR="00E52611" w:rsidRPr="00E52611">
        <w:instrText xml:space="preserve"> ADDIN BA \xc &lt;@$id&gt; \xl 17 \s ID \xhfl Rep </w:instrText>
      </w:r>
      <w:r w:rsidR="00DF0559" w:rsidRPr="00E52611">
        <w:fldChar w:fldCharType="end"/>
      </w:r>
      <w:r w:rsidR="00B5538B" w:rsidRPr="00E52611">
        <w:rPr>
          <w:i/>
        </w:rPr>
        <w:t xml:space="preserve">Id. </w:t>
      </w:r>
      <w:r w:rsidR="00B5538B" w:rsidRPr="00E52611">
        <w:t xml:space="preserve">at </w:t>
      </w:r>
      <w:r w:rsidR="0027790D" w:rsidRPr="00E52611">
        <w:t xml:space="preserve">855, </w:t>
      </w:r>
      <w:r w:rsidR="00B5538B" w:rsidRPr="00E52611">
        <w:t>n. 15</w:t>
      </w:r>
      <w:r w:rsidR="00FA2A0C" w:rsidRPr="00E52611">
        <w:t xml:space="preserve">; </w:t>
      </w:r>
      <w:r w:rsidR="005F4E06" w:rsidRPr="00E52611">
        <w:rPr>
          <w:i/>
        </w:rPr>
        <w:t xml:space="preserve">see also, e.g., </w:t>
      </w:r>
      <w:r w:rsidR="00DF0559" w:rsidRPr="00E52611">
        <w:fldChar w:fldCharType="begin"/>
      </w:r>
      <w:r w:rsidR="00E52611" w:rsidRPr="00E52611">
        <w:instrText xml:space="preserve"> ADDIN BA \xc &lt;@$cs&gt; \xl 23 \s QOQUYW000023 \xhfl Rep </w:instrText>
      </w:r>
      <w:r w:rsidR="00DF0559" w:rsidRPr="00E52611">
        <w:fldChar w:fldCharType="end"/>
      </w:r>
      <w:r w:rsidR="00CE135B" w:rsidRPr="00E52611">
        <w:rPr>
          <w:i/>
        </w:rPr>
        <w:t>SBC</w:t>
      </w:r>
      <w:r w:rsidR="00CE135B" w:rsidRPr="00E52611">
        <w:t>, 154 F.3d at 243-44 (scattered remarks from a bill’s sponsors demonstrating an intent to punish d</w:t>
      </w:r>
      <w:r w:rsidR="00EF6B1C" w:rsidRPr="00E52611">
        <w:t>id</w:t>
      </w:r>
      <w:r w:rsidR="00CE135B" w:rsidRPr="00E52611">
        <w:t xml:space="preserve"> not establish punitive intent); </w:t>
      </w:r>
      <w:r w:rsidR="00DF0559" w:rsidRPr="00E52611">
        <w:fldChar w:fldCharType="begin"/>
      </w:r>
      <w:r w:rsidR="00E52611" w:rsidRPr="00E52611">
        <w:instrText xml:space="preserve"> ADDIN BA \xc &lt;@$cs&gt; \xl 22 \s QOQUYW000015 \xhfl Rep </w:instrText>
      </w:r>
      <w:r w:rsidR="00DF0559" w:rsidRPr="00E52611">
        <w:fldChar w:fldCharType="end"/>
      </w:r>
      <w:r w:rsidR="00B86BF8" w:rsidRPr="00E52611">
        <w:rPr>
          <w:i/>
        </w:rPr>
        <w:t>Nixon</w:t>
      </w:r>
      <w:r w:rsidR="00B86BF8" w:rsidRPr="00E52611">
        <w:t>, 433 U.S. at 482 (statements by bill’s sponsors evinced nonpunitive purpose)</w:t>
      </w:r>
      <w:r w:rsidR="005063EA" w:rsidRPr="00E52611">
        <w:t>;</w:t>
      </w:r>
      <w:r w:rsidR="005F4E06" w:rsidRPr="00E52611">
        <w:t xml:space="preserve"> </w:t>
      </w:r>
      <w:r w:rsidR="00DF0559" w:rsidRPr="00E52611">
        <w:fldChar w:fldCharType="begin"/>
      </w:r>
      <w:r w:rsidR="00E52611" w:rsidRPr="00E52611">
        <w:instrText xml:space="preserve"> ADDIN BA \xc &lt;@$cs&gt; \xl 28 \s QOQUYW000022 \xhfl Rep </w:instrText>
      </w:r>
      <w:r w:rsidR="00DF0559" w:rsidRPr="00E52611">
        <w:fldChar w:fldCharType="end"/>
      </w:r>
      <w:bookmarkStart w:id="137" w:name="_BA_Cite_247"/>
      <w:r w:rsidR="005F4E06" w:rsidRPr="00E52611">
        <w:rPr>
          <w:i/>
        </w:rPr>
        <w:t>Navegar</w:t>
      </w:r>
      <w:r w:rsidR="005F4E06" w:rsidRPr="00E52611">
        <w:t>, 192 F.3d at 1067-68</w:t>
      </w:r>
      <w:bookmarkEnd w:id="137"/>
      <w:r w:rsidR="005F4E06" w:rsidRPr="00E52611">
        <w:t xml:space="preserve"> (same)</w:t>
      </w:r>
      <w:r w:rsidR="005063EA" w:rsidRPr="00E52611">
        <w:t xml:space="preserve">. </w:t>
      </w:r>
    </w:p>
    <w:p w:rsidR="006B0171" w:rsidRPr="00E52611" w:rsidRDefault="0028605C" w:rsidP="0074380A">
      <w:pPr>
        <w:spacing w:line="480" w:lineRule="auto"/>
        <w:rPr>
          <w:rFonts w:eastAsia="Times New Roman"/>
        </w:rPr>
      </w:pPr>
      <w:r w:rsidRPr="00E52611">
        <w:rPr>
          <w:rFonts w:eastAsia="Times New Roman"/>
        </w:rPr>
        <w:tab/>
        <w:t xml:space="preserve">In </w:t>
      </w:r>
      <w:r w:rsidR="00DF0559" w:rsidRPr="00E52611">
        <w:fldChar w:fldCharType="begin"/>
      </w:r>
      <w:r w:rsidR="00E52611" w:rsidRPr="00E52611">
        <w:instrText xml:space="preserve"> ADDIN BA \xc &lt;@$cs&gt; \xl 6 \s QOQUYW000035 </w:instrText>
      </w:r>
      <w:r w:rsidR="00DF0559" w:rsidRPr="00E52611">
        <w:fldChar w:fldCharType="end"/>
      </w:r>
      <w:r w:rsidRPr="00E52611">
        <w:rPr>
          <w:rFonts w:eastAsia="Times New Roman"/>
          <w:i/>
        </w:rPr>
        <w:t>Lovett</w:t>
      </w:r>
      <w:r w:rsidRPr="00E52611">
        <w:rPr>
          <w:rFonts w:eastAsia="Times New Roman"/>
        </w:rPr>
        <w:t xml:space="preserve">, the House Committee on Un-American Activities </w:t>
      </w:r>
      <w:r w:rsidR="00B808DE" w:rsidRPr="00E52611">
        <w:rPr>
          <w:rFonts w:eastAsia="Times New Roman"/>
        </w:rPr>
        <w:t>conducted secret trials of</w:t>
      </w:r>
      <w:r w:rsidRPr="00E52611">
        <w:rPr>
          <w:rFonts w:eastAsia="Times New Roman"/>
        </w:rPr>
        <w:t xml:space="preserve"> government employees it considered “subversive”</w:t>
      </w:r>
      <w:r w:rsidR="00FB6158" w:rsidRPr="00E52611">
        <w:rPr>
          <w:rFonts w:eastAsia="Times New Roman"/>
        </w:rPr>
        <w:t xml:space="preserve"> following allegations of </w:t>
      </w:r>
      <w:r w:rsidR="00EF6B1C" w:rsidRPr="00E52611">
        <w:rPr>
          <w:rFonts w:eastAsia="Times New Roman"/>
        </w:rPr>
        <w:t>seditious</w:t>
      </w:r>
      <w:r w:rsidR="00FB6158" w:rsidRPr="00E52611">
        <w:rPr>
          <w:rFonts w:eastAsia="Times New Roman"/>
        </w:rPr>
        <w:t xml:space="preserve"> activity </w:t>
      </w:r>
      <w:r w:rsidR="00AC53C9" w:rsidRPr="00E52611">
        <w:rPr>
          <w:rFonts w:eastAsia="Times New Roman"/>
        </w:rPr>
        <w:t>made by certain members of Congress</w:t>
      </w:r>
      <w:r w:rsidR="00FB6158" w:rsidRPr="00E52611">
        <w:rPr>
          <w:rFonts w:eastAsia="Times New Roman"/>
        </w:rPr>
        <w:t>.</w:t>
      </w:r>
      <w:r w:rsidRPr="00E52611">
        <w:rPr>
          <w:rFonts w:eastAsia="Times New Roman"/>
        </w:rPr>
        <w:t xml:space="preserve"> </w:t>
      </w:r>
      <w:r w:rsidR="00DF0559" w:rsidRPr="00E52611">
        <w:fldChar w:fldCharType="begin"/>
      </w:r>
      <w:r w:rsidR="00E52611" w:rsidRPr="00E52611">
        <w:instrText xml:space="preserve"> ADDIN BA \xc &lt;@$cs&gt; \xl 19 \s QOQUYW000035 \xhfl Rep </w:instrText>
      </w:r>
      <w:r w:rsidR="00DF0559" w:rsidRPr="00E52611">
        <w:fldChar w:fldCharType="end"/>
      </w:r>
      <w:r w:rsidRPr="00E52611">
        <w:rPr>
          <w:rFonts w:eastAsia="Times New Roman"/>
        </w:rPr>
        <w:t>328 U.S. at 3</w:t>
      </w:r>
      <w:r w:rsidR="00FB6158" w:rsidRPr="00E52611">
        <w:rPr>
          <w:rFonts w:eastAsia="Times New Roman"/>
        </w:rPr>
        <w:t>10-311</w:t>
      </w:r>
      <w:r w:rsidRPr="00E52611">
        <w:rPr>
          <w:rFonts w:eastAsia="Times New Roman"/>
        </w:rPr>
        <w:t xml:space="preserve">. </w:t>
      </w:r>
      <w:r w:rsidR="00FB6158" w:rsidRPr="00E52611">
        <w:rPr>
          <w:rFonts w:eastAsia="Times New Roman"/>
        </w:rPr>
        <w:t xml:space="preserve">Congressman Dies, chairman of the Committee, wanted to pass </w:t>
      </w:r>
      <w:r w:rsidR="00542F98" w:rsidRPr="00E52611">
        <w:rPr>
          <w:rFonts w:eastAsia="Times New Roman"/>
        </w:rPr>
        <w:t>a law</w:t>
      </w:r>
      <w:r w:rsidR="00FB6158" w:rsidRPr="00E52611">
        <w:rPr>
          <w:rFonts w:eastAsia="Times New Roman"/>
        </w:rPr>
        <w:t xml:space="preserve"> </w:t>
      </w:r>
      <w:r w:rsidR="00542F98" w:rsidRPr="00E52611">
        <w:rPr>
          <w:rFonts w:eastAsia="Times New Roman"/>
        </w:rPr>
        <w:t xml:space="preserve">depriving </w:t>
      </w:r>
      <w:r w:rsidR="00F40B9F" w:rsidRPr="00E52611">
        <w:rPr>
          <w:rFonts w:eastAsia="Times New Roman"/>
        </w:rPr>
        <w:t>plaintiffs</w:t>
      </w:r>
      <w:r w:rsidR="00951DC2" w:rsidRPr="00E52611">
        <w:rPr>
          <w:rFonts w:eastAsia="Times New Roman"/>
        </w:rPr>
        <w:t xml:space="preserve"> of</w:t>
      </w:r>
      <w:r w:rsidR="00F40B9F" w:rsidRPr="00E52611">
        <w:rPr>
          <w:rFonts w:eastAsia="Times New Roman"/>
        </w:rPr>
        <w:t xml:space="preserve"> their government </w:t>
      </w:r>
      <w:r w:rsidR="00FB6158" w:rsidRPr="00E52611">
        <w:rPr>
          <w:rFonts w:eastAsia="Times New Roman"/>
        </w:rPr>
        <w:t xml:space="preserve">salaries, and called them “irresponsible, unrepresentative, crack-pot, radical bureaucrats.” </w:t>
      </w:r>
      <w:r w:rsidR="00DF0559" w:rsidRPr="00E52611">
        <w:fldChar w:fldCharType="begin"/>
      </w:r>
      <w:r w:rsidR="00E52611" w:rsidRPr="00E52611">
        <w:instrText xml:space="preserve"> ADDIN BA \xc &lt;@$id&gt; \xl 3 \s ID </w:instrText>
      </w:r>
      <w:r w:rsidR="00DF0559" w:rsidRPr="00E52611">
        <w:fldChar w:fldCharType="end"/>
      </w:r>
      <w:r w:rsidR="00FB6158" w:rsidRPr="00E52611">
        <w:rPr>
          <w:rFonts w:eastAsia="Times New Roman"/>
          <w:i/>
        </w:rPr>
        <w:t>Id.</w:t>
      </w:r>
      <w:r w:rsidR="00FB6158" w:rsidRPr="00E52611">
        <w:rPr>
          <w:rFonts w:eastAsia="Times New Roman"/>
        </w:rPr>
        <w:t xml:space="preserve"> The fact that Congress officially “deemed [plaintiffs] guilty” influenced the Court in determining that Congress’ clear intent was to punish. </w:t>
      </w:r>
      <w:r w:rsidR="00DF0559" w:rsidRPr="00E52611">
        <w:fldChar w:fldCharType="begin"/>
      </w:r>
      <w:r w:rsidR="00E52611" w:rsidRPr="00E52611">
        <w:instrText xml:space="preserve"> ADDIN BA \xc &lt;@$id&gt; \xl 10 \s ID \xhfl Rep </w:instrText>
      </w:r>
      <w:r w:rsidR="00DF0559" w:rsidRPr="00E52611">
        <w:fldChar w:fldCharType="end"/>
      </w:r>
      <w:r w:rsidR="00FB6158" w:rsidRPr="00E52611">
        <w:rPr>
          <w:rFonts w:eastAsia="Times New Roman"/>
          <w:i/>
        </w:rPr>
        <w:t xml:space="preserve">Id. </w:t>
      </w:r>
      <w:r w:rsidR="00FB6158" w:rsidRPr="00E52611">
        <w:rPr>
          <w:rFonts w:eastAsia="Times New Roman"/>
        </w:rPr>
        <w:t xml:space="preserve">at 314. </w:t>
      </w:r>
    </w:p>
    <w:p w:rsidR="00853F19" w:rsidRPr="00E52611" w:rsidRDefault="006B0171" w:rsidP="0074380A">
      <w:pPr>
        <w:spacing w:line="480" w:lineRule="auto"/>
        <w:rPr>
          <w:b/>
        </w:rPr>
      </w:pPr>
      <w:r w:rsidRPr="00E52611">
        <w:rPr>
          <w:rFonts w:eastAsia="Times New Roman"/>
        </w:rPr>
        <w:tab/>
      </w:r>
      <w:r w:rsidR="00853F19" w:rsidRPr="00E52611">
        <w:rPr>
          <w:rFonts w:eastAsia="Times New Roman"/>
        </w:rPr>
        <w:t xml:space="preserve">The </w:t>
      </w:r>
      <w:r w:rsidR="00DF0559" w:rsidRPr="00E52611">
        <w:fldChar w:fldCharType="begin"/>
      </w:r>
      <w:r w:rsidR="00E52611" w:rsidRPr="00E52611">
        <w:instrText xml:space="preserve"> ADDIN BA \xc &lt;@$cs&gt; \xl 7 \s QOQUYW000051 </w:instrText>
      </w:r>
      <w:r w:rsidR="00DF0559" w:rsidRPr="00E52611">
        <w:fldChar w:fldCharType="end"/>
      </w:r>
      <w:r w:rsidR="00853F19" w:rsidRPr="00E52611">
        <w:rPr>
          <w:rFonts w:eastAsia="Times New Roman"/>
          <w:i/>
        </w:rPr>
        <w:t xml:space="preserve">Cansler </w:t>
      </w:r>
      <w:r w:rsidR="00853F19" w:rsidRPr="00E52611">
        <w:rPr>
          <w:rFonts w:eastAsia="Times New Roman"/>
        </w:rPr>
        <w:t xml:space="preserve">court found the legislative history of a bill depriving Planned Parenthood </w:t>
      </w:r>
      <w:r w:rsidR="0024674A" w:rsidRPr="00E52611">
        <w:rPr>
          <w:rFonts w:eastAsia="Times New Roman"/>
        </w:rPr>
        <w:t xml:space="preserve">of </w:t>
      </w:r>
      <w:r w:rsidR="00853F19" w:rsidRPr="00E52611">
        <w:rPr>
          <w:rFonts w:eastAsia="Times New Roman"/>
        </w:rPr>
        <w:t xml:space="preserve">state funding </w:t>
      </w:r>
      <w:r w:rsidR="00855548" w:rsidRPr="00E52611">
        <w:rPr>
          <w:rFonts w:eastAsia="Times New Roman"/>
        </w:rPr>
        <w:t>demonstrated a</w:t>
      </w:r>
      <w:r w:rsidR="00853F19" w:rsidRPr="00E52611">
        <w:rPr>
          <w:rFonts w:eastAsia="Times New Roman"/>
        </w:rPr>
        <w:t xml:space="preserve"> </w:t>
      </w:r>
      <w:r w:rsidR="00AC53C9" w:rsidRPr="00E52611">
        <w:rPr>
          <w:rFonts w:eastAsia="Times New Roman"/>
        </w:rPr>
        <w:t>punitive intent</w:t>
      </w:r>
      <w:r w:rsidR="00853F19" w:rsidRPr="00E52611">
        <w:rPr>
          <w:rFonts w:eastAsia="Times New Roman"/>
        </w:rPr>
        <w:t xml:space="preserve">. </w:t>
      </w:r>
      <w:r w:rsidR="00DF0559" w:rsidRPr="00E52611">
        <w:fldChar w:fldCharType="begin"/>
      </w:r>
      <w:r w:rsidR="00E52611" w:rsidRPr="00E52611">
        <w:instrText xml:space="preserve"> ADDIN BA \xc &lt;@$cs&gt; \xl 22 \s QOQUYW000051 \xhfl Rep </w:instrText>
      </w:r>
      <w:r w:rsidR="00DF0559" w:rsidRPr="00E52611">
        <w:fldChar w:fldCharType="end"/>
      </w:r>
      <w:r w:rsidR="0047279E" w:rsidRPr="00E52611">
        <w:t>804 F. Supp</w:t>
      </w:r>
      <w:r w:rsidR="00B465E2" w:rsidRPr="00E52611">
        <w:t xml:space="preserve">. </w:t>
      </w:r>
      <w:r w:rsidR="0047279E" w:rsidRPr="00E52611">
        <w:t>2d at 496</w:t>
      </w:r>
      <w:r w:rsidR="00D82DFA" w:rsidRPr="00E52611">
        <w:t xml:space="preserve">. </w:t>
      </w:r>
      <w:r w:rsidR="00853F19" w:rsidRPr="00E52611">
        <w:rPr>
          <w:rFonts w:eastAsia="Times New Roman"/>
        </w:rPr>
        <w:t xml:space="preserve">During legislative debates, state representatives derided plaintiff Planned Parenthood for its alleged connection to Margaret Sanger and the eugenics movement. </w:t>
      </w:r>
      <w:r w:rsidR="00DF0559" w:rsidRPr="00E52611">
        <w:fldChar w:fldCharType="begin"/>
      </w:r>
      <w:r w:rsidR="00E52611" w:rsidRPr="00E52611">
        <w:instrText xml:space="preserve"> ADDIN BA \xc &lt;@$id&gt; \xl 3 \s ID </w:instrText>
      </w:r>
      <w:r w:rsidR="00DF0559" w:rsidRPr="00E52611">
        <w:fldChar w:fldCharType="end"/>
      </w:r>
      <w:r w:rsidR="00853F19" w:rsidRPr="00E52611">
        <w:rPr>
          <w:rFonts w:eastAsia="Times New Roman"/>
          <w:i/>
        </w:rPr>
        <w:t xml:space="preserve">Id. </w:t>
      </w:r>
      <w:r w:rsidR="00853F19" w:rsidRPr="00E52611">
        <w:rPr>
          <w:rFonts w:eastAsia="Times New Roman"/>
        </w:rPr>
        <w:t>A</w:t>
      </w:r>
      <w:r w:rsidR="00487490" w:rsidRPr="00E52611">
        <w:rPr>
          <w:rFonts w:eastAsia="Times New Roman"/>
        </w:rPr>
        <w:t>nd a</w:t>
      </w:r>
      <w:r w:rsidR="00853F19" w:rsidRPr="00E52611">
        <w:rPr>
          <w:rFonts w:eastAsia="Times New Roman"/>
        </w:rPr>
        <w:t xml:space="preserve"> state senator </w:t>
      </w:r>
      <w:r w:rsidR="00133390" w:rsidRPr="00E52611">
        <w:rPr>
          <w:rFonts w:eastAsia="Times New Roman"/>
        </w:rPr>
        <w:t>declared</w:t>
      </w:r>
      <w:r w:rsidR="00853F19" w:rsidRPr="00E52611">
        <w:rPr>
          <w:rFonts w:eastAsia="Times New Roman"/>
        </w:rPr>
        <w:t xml:space="preserve"> that “97 percent of the pregnant women who go to a Planned Parenthood clinic are sold an abortion.” </w:t>
      </w:r>
      <w:r w:rsidR="00DF0559" w:rsidRPr="00E52611">
        <w:fldChar w:fldCharType="begin"/>
      </w:r>
      <w:r w:rsidR="00E52611" w:rsidRPr="00E52611">
        <w:instrText xml:space="preserve"> ADDIN BA \xc &lt;@$id&gt; \xl 3 \s ID </w:instrText>
      </w:r>
      <w:r w:rsidR="00DF0559" w:rsidRPr="00E52611">
        <w:fldChar w:fldCharType="end"/>
      </w:r>
      <w:r w:rsidR="00853F19" w:rsidRPr="00E52611">
        <w:rPr>
          <w:rFonts w:eastAsia="Times New Roman"/>
          <w:i/>
        </w:rPr>
        <w:t xml:space="preserve">Id. </w:t>
      </w:r>
      <w:r w:rsidR="00853F19" w:rsidRPr="00E52611">
        <w:rPr>
          <w:rFonts w:eastAsia="Times New Roman"/>
        </w:rPr>
        <w:t xml:space="preserve">The court noted that these statements were inaccurate. </w:t>
      </w:r>
      <w:r w:rsidR="00DF0559" w:rsidRPr="00E52611">
        <w:fldChar w:fldCharType="begin"/>
      </w:r>
      <w:r w:rsidR="00E52611" w:rsidRPr="00E52611">
        <w:instrText xml:space="preserve"> ADDIN BA \xc &lt;@$id&gt; \xl 3 \s ID </w:instrText>
      </w:r>
      <w:r w:rsidR="00DF0559" w:rsidRPr="00E52611">
        <w:fldChar w:fldCharType="end"/>
      </w:r>
      <w:r w:rsidR="00853F19" w:rsidRPr="00E52611">
        <w:rPr>
          <w:rFonts w:eastAsia="Times New Roman"/>
          <w:i/>
        </w:rPr>
        <w:t>Id.</w:t>
      </w:r>
      <w:r w:rsidR="00853F19" w:rsidRPr="00E52611">
        <w:rPr>
          <w:rFonts w:eastAsia="Times New Roman"/>
        </w:rPr>
        <w:t xml:space="preserve"> It held that </w:t>
      </w:r>
      <w:r w:rsidR="00BC4D44" w:rsidRPr="00E52611">
        <w:rPr>
          <w:rFonts w:eastAsia="Times New Roman"/>
        </w:rPr>
        <w:t>the</w:t>
      </w:r>
      <w:r w:rsidR="00853F19" w:rsidRPr="00E52611">
        <w:rPr>
          <w:rFonts w:eastAsia="Times New Roman"/>
        </w:rPr>
        <w:t xml:space="preserve"> legislative history </w:t>
      </w:r>
      <w:r w:rsidR="003172CD" w:rsidRPr="00E52611">
        <w:rPr>
          <w:rFonts w:eastAsia="Times New Roman"/>
        </w:rPr>
        <w:t>supported</w:t>
      </w:r>
      <w:r w:rsidR="00B173B6" w:rsidRPr="00E52611">
        <w:rPr>
          <w:rFonts w:eastAsia="Times New Roman"/>
        </w:rPr>
        <w:t xml:space="preserve"> the conclusion that the statute was passed to punish plaintiff for its </w:t>
      </w:r>
      <w:r w:rsidR="00853F19" w:rsidRPr="00E52611">
        <w:rPr>
          <w:rFonts w:eastAsia="Times New Roman"/>
        </w:rPr>
        <w:t>alleged historical connecti</w:t>
      </w:r>
      <w:r w:rsidR="00D876E2" w:rsidRPr="00E52611">
        <w:rPr>
          <w:rFonts w:eastAsia="Times New Roman"/>
        </w:rPr>
        <w:t xml:space="preserve">on to the eugenics </w:t>
      </w:r>
      <w:r w:rsidR="00D876E2" w:rsidRPr="00E52611">
        <w:rPr>
          <w:rFonts w:eastAsia="Times New Roman"/>
        </w:rPr>
        <w:lastRenderedPageBreak/>
        <w:t>movement</w:t>
      </w:r>
      <w:r w:rsidR="00B173B6" w:rsidRPr="00E52611">
        <w:rPr>
          <w:rFonts w:eastAsia="Times New Roman"/>
        </w:rPr>
        <w:t xml:space="preserve"> and the alleged number of abortions it performed, “unrelated to any state-funded programs.</w:t>
      </w:r>
      <w:r w:rsidR="00D876E2" w:rsidRPr="00E52611">
        <w:rPr>
          <w:rFonts w:eastAsia="Times New Roman"/>
        </w:rPr>
        <w:t>”</w:t>
      </w:r>
      <w:r w:rsidR="00B173B6" w:rsidRPr="00E52611">
        <w:rPr>
          <w:rFonts w:eastAsia="Times New Roman"/>
        </w:rPr>
        <w:t xml:space="preserve"> </w:t>
      </w:r>
      <w:r w:rsidR="00DF0559" w:rsidRPr="00E52611">
        <w:fldChar w:fldCharType="begin"/>
      </w:r>
      <w:r w:rsidR="00E52611" w:rsidRPr="00E52611">
        <w:instrText xml:space="preserve"> ADDIN BA \xc &lt;@$id&gt; \xl 3 \s ID </w:instrText>
      </w:r>
      <w:r w:rsidR="00DF0559" w:rsidRPr="00E52611">
        <w:fldChar w:fldCharType="end"/>
      </w:r>
      <w:r w:rsidR="00B173B6" w:rsidRPr="00E52611">
        <w:rPr>
          <w:rFonts w:eastAsia="Times New Roman"/>
          <w:i/>
        </w:rPr>
        <w:t xml:space="preserve">Id. </w:t>
      </w:r>
      <w:r w:rsidR="00D876E2" w:rsidRPr="00E52611">
        <w:rPr>
          <w:rFonts w:eastAsia="Times New Roman"/>
        </w:rPr>
        <w:t xml:space="preserve"> </w:t>
      </w:r>
    </w:p>
    <w:p w:rsidR="00980B6B" w:rsidRPr="00E52611" w:rsidRDefault="00835B3B" w:rsidP="002E03B1">
      <w:pPr>
        <w:spacing w:line="480" w:lineRule="auto"/>
      </w:pPr>
      <w:r w:rsidRPr="00E52611">
        <w:tab/>
      </w:r>
      <w:r w:rsidR="00A5515A" w:rsidRPr="00E52611">
        <w:t xml:space="preserve">Line after line of the legislative history </w:t>
      </w:r>
      <w:r w:rsidR="00DB2FB7" w:rsidRPr="00E52611">
        <w:t>establishes that Congress intended to punish ACO</w:t>
      </w:r>
      <w:r w:rsidR="000E6012" w:rsidRPr="00E52611">
        <w:t>RN and its affiliates with the appropriations l</w:t>
      </w:r>
      <w:r w:rsidR="00DB2FB7" w:rsidRPr="00E52611">
        <w:t>aws</w:t>
      </w:r>
      <w:r w:rsidR="00A5515A" w:rsidRPr="00E52611">
        <w:t>.</w:t>
      </w:r>
      <w:r w:rsidR="006B4104" w:rsidRPr="00E52611">
        <w:t xml:space="preserve"> </w:t>
      </w:r>
      <w:r w:rsidR="006131F5" w:rsidRPr="00E52611">
        <w:t xml:space="preserve">As mentioned, many representatives’ statements evinced a desire to </w:t>
      </w:r>
      <w:r w:rsidR="00F83020" w:rsidRPr="00E52611">
        <w:t>penalize</w:t>
      </w:r>
      <w:r w:rsidR="006131F5" w:rsidRPr="00E52611">
        <w:t xml:space="preserve"> ACORN for its progressive agenda and ties to Pres</w:t>
      </w:r>
      <w:r w:rsidR="005E2D82" w:rsidRPr="00E52611">
        <w:t>ident Obama and the Democratic P</w:t>
      </w:r>
      <w:r w:rsidR="006131F5" w:rsidRPr="00E52611">
        <w:t xml:space="preserve">arty. </w:t>
      </w:r>
      <w:r w:rsidR="00AE709F" w:rsidRPr="00E52611">
        <w:t>Additionally, representatives alleged</w:t>
      </w:r>
      <w:r w:rsidR="00004F04" w:rsidRPr="00E52611">
        <w:t xml:space="preserve"> that ACORN and its affiliates we</w:t>
      </w:r>
      <w:r w:rsidR="00AE709F" w:rsidRPr="00E52611">
        <w:t xml:space="preserve">re guilty of a laundry list of crimes. On the Senate and House floors, ACORN and its affiliates were accused of “child prostitution,” “shaking down lenders,” and “trafficking illegal aliens.” </w:t>
      </w:r>
      <w:r w:rsidR="00924EAB" w:rsidRPr="00E52611">
        <w:rPr>
          <w:i/>
        </w:rPr>
        <w:t xml:space="preserve">See </w:t>
      </w:r>
      <w:r w:rsidR="00DF0559" w:rsidRPr="00E52611">
        <w:fldChar w:fldCharType="begin"/>
      </w:r>
      <w:r w:rsidR="00E52611" w:rsidRPr="00E52611">
        <w:instrText xml:space="preserve"> ADDIN BA \xc &lt;@leg&gt; \xl 26 \s QOQUYW000056 \l "155 Cong. Rec. H9946-10129" </w:instrText>
      </w:r>
      <w:r w:rsidR="00DF0559" w:rsidRPr="00E52611">
        <w:fldChar w:fldCharType="end"/>
      </w:r>
      <w:bookmarkStart w:id="138" w:name="_BA_Cite_248"/>
      <w:r w:rsidR="00AE709F" w:rsidRPr="00E52611">
        <w:t>155 Cong. Rec. H9946-10129</w:t>
      </w:r>
      <w:bookmarkEnd w:id="138"/>
      <w:r w:rsidR="00AE709F" w:rsidRPr="00E52611">
        <w:t>. They were</w:t>
      </w:r>
      <w:r w:rsidR="00896ED6">
        <w:t xml:space="preserve"> </w:t>
      </w:r>
      <w:r w:rsidR="00AE709F" w:rsidRPr="00E52611">
        <w:t xml:space="preserve">called a “crooked bunch,” that “engaged in old-fashioned cronyism,” and a “corrupt and criminal organization,” belonging to the “criminal hall of fame.” </w:t>
      </w:r>
      <w:r w:rsidR="005133B4" w:rsidRPr="00E52611">
        <w:rPr>
          <w:rFonts w:cs="TimesNewRoman"/>
          <w:i/>
        </w:rPr>
        <w:t xml:space="preserve">See </w:t>
      </w:r>
      <w:r w:rsidR="00DF0559" w:rsidRPr="00E52611">
        <w:fldChar w:fldCharType="begin"/>
      </w:r>
      <w:r w:rsidR="00E52611" w:rsidRPr="00E52611">
        <w:instrText xml:space="preserve"> ADDIN BA \xc &lt;@$id&gt; \xl 3 \s ID </w:instrText>
      </w:r>
      <w:r w:rsidR="00DF0559" w:rsidRPr="00E52611">
        <w:fldChar w:fldCharType="end"/>
      </w:r>
      <w:r w:rsidR="00924EAB" w:rsidRPr="00E52611">
        <w:rPr>
          <w:rFonts w:cs="TimesNewRoman"/>
          <w:i/>
        </w:rPr>
        <w:t>id.</w:t>
      </w:r>
      <w:r w:rsidR="005133B4" w:rsidRPr="00E52611">
        <w:rPr>
          <w:rFonts w:cs="TimesNewRoman"/>
        </w:rPr>
        <w:t xml:space="preserve"> </w:t>
      </w:r>
      <w:r w:rsidR="00AE709F" w:rsidRPr="00E52611">
        <w:t xml:space="preserve">Congressman King </w:t>
      </w:r>
      <w:r w:rsidR="00980B6B" w:rsidRPr="00E52611">
        <w:t xml:space="preserve">stated that </w:t>
      </w:r>
      <w:r w:rsidR="00AE709F" w:rsidRPr="00E52611">
        <w:t>ACORN was “utterly corrupting [ ] society,” and that he could not “draw a moral distinction between an ACORN shakedown, a Mafia shakedown, or a shakedown that might come from Hugo Chavez or some strongman in some other country.”</w:t>
      </w:r>
      <w:r w:rsidR="00DE0834" w:rsidRPr="00E52611">
        <w:t xml:space="preserve"> </w:t>
      </w:r>
      <w:r w:rsidR="00DF0559" w:rsidRPr="00E52611">
        <w:fldChar w:fldCharType="begin"/>
      </w:r>
      <w:r w:rsidR="00E52611" w:rsidRPr="00E52611">
        <w:instrText xml:space="preserve"> ADDIN BA \xc &lt;@leg&gt; \xl 23 \s QOQUYW000057 \l "155 Cong. Rec." </w:instrText>
      </w:r>
      <w:r w:rsidR="00DF0559" w:rsidRPr="00E52611">
        <w:fldChar w:fldCharType="end"/>
      </w:r>
      <w:bookmarkStart w:id="139" w:name="_BA_Cite_249"/>
      <w:r w:rsidR="008A017B" w:rsidRPr="00E52611">
        <w:t xml:space="preserve">155 Cong. Rec. </w:t>
      </w:r>
      <w:r w:rsidR="00F10943" w:rsidRPr="00E52611">
        <w:t>at</w:t>
      </w:r>
      <w:r w:rsidR="008A017B" w:rsidRPr="00E52611">
        <w:t xml:space="preserve"> H9950</w:t>
      </w:r>
      <w:bookmarkEnd w:id="139"/>
      <w:r w:rsidR="008A017B" w:rsidRPr="00E52611">
        <w:t>.</w:t>
      </w:r>
      <w:r w:rsidR="00896ED6">
        <w:t xml:space="preserve"> </w:t>
      </w:r>
      <w:r w:rsidR="004D7306">
        <w:t>These</w:t>
      </w:r>
      <w:r w:rsidR="00D425E4">
        <w:t xml:space="preserve"> numerous and negative </w:t>
      </w:r>
      <w:r w:rsidR="00896ED6">
        <w:t xml:space="preserve">statements far surpass the “scattered remarks” </w:t>
      </w:r>
      <w:r w:rsidR="008F0265">
        <w:t xml:space="preserve">which </w:t>
      </w:r>
      <w:r w:rsidR="00896ED6">
        <w:t xml:space="preserve">did not suffice in </w:t>
      </w:r>
      <w:r w:rsidR="00896ED6">
        <w:rPr>
          <w:i/>
        </w:rPr>
        <w:t xml:space="preserve">SBC </w:t>
      </w:r>
      <w:r w:rsidR="00896ED6">
        <w:t xml:space="preserve">or </w:t>
      </w:r>
      <w:r w:rsidR="00896ED6">
        <w:rPr>
          <w:i/>
        </w:rPr>
        <w:t>Selective Service Systems</w:t>
      </w:r>
      <w:r w:rsidR="00896ED6">
        <w:t xml:space="preserve">. </w:t>
      </w:r>
      <w:r w:rsidR="00896ED6" w:rsidRPr="00E52611">
        <w:t>154 F.3d at 243-44</w:t>
      </w:r>
      <w:r w:rsidR="00896ED6">
        <w:t xml:space="preserve">; </w:t>
      </w:r>
      <w:r w:rsidR="00896ED6" w:rsidRPr="00E52611">
        <w:t>468 U.S. at 855.</w:t>
      </w:r>
    </w:p>
    <w:p w:rsidR="00D30ABD" w:rsidRPr="00E52611" w:rsidRDefault="004F6284" w:rsidP="00980B6B">
      <w:pPr>
        <w:spacing w:line="480" w:lineRule="auto"/>
        <w:ind w:firstLine="720"/>
      </w:pPr>
      <w:r>
        <w:t>Further, c</w:t>
      </w:r>
      <w:r w:rsidR="00DE0834" w:rsidRPr="00E52611">
        <w:t>ertain repres</w:t>
      </w:r>
      <w:r w:rsidR="001B6321" w:rsidRPr="00E52611">
        <w:t xml:space="preserve">entatives </w:t>
      </w:r>
      <w:r w:rsidR="00004F04" w:rsidRPr="00E52611">
        <w:t>called out their colleagues for their</w:t>
      </w:r>
      <w:r w:rsidR="001B6321" w:rsidRPr="00E52611">
        <w:t xml:space="preserve"> attacks on ACORN</w:t>
      </w:r>
      <w:r w:rsidR="007625EF" w:rsidRPr="00E52611">
        <w:t>. Senator Durbin declared,</w:t>
      </w:r>
    </w:p>
    <w:p w:rsidR="00D30ABD" w:rsidRPr="00E52611" w:rsidRDefault="00DE0834" w:rsidP="00146EF4">
      <w:pPr>
        <w:ind w:left="720"/>
      </w:pPr>
      <w:r w:rsidRPr="00E52611">
        <w:t xml:space="preserve">We have put ourselves . . . </w:t>
      </w:r>
      <w:r w:rsidR="003843DA" w:rsidRPr="00E52611">
        <w:t xml:space="preserve">in the position of prosecutor, judge, and jury. </w:t>
      </w:r>
      <w:r w:rsidRPr="00E52611">
        <w:t>. . .</w:t>
      </w:r>
      <w:r w:rsidR="003843DA" w:rsidRPr="00E52611">
        <w:t xml:space="preserve"> I went to one of these old-fashioned law schools. We believed </w:t>
      </w:r>
      <w:r w:rsidR="003843DA" w:rsidRPr="00E52611">
        <w:lastRenderedPageBreak/>
        <w:t xml:space="preserve">that first you have the trial, then you have the hanging. But, unfortunately, when it comes to this organization, there has been a summary execution order issued before the trial. </w:t>
      </w:r>
    </w:p>
    <w:p w:rsidR="00D30ABD" w:rsidRPr="00E52611" w:rsidRDefault="00D30ABD" w:rsidP="00146EF4">
      <w:pPr>
        <w:ind w:firstLine="720"/>
      </w:pPr>
    </w:p>
    <w:p w:rsidR="00146EF4" w:rsidRDefault="00DF0559" w:rsidP="00146EF4">
      <w:r w:rsidRPr="00E52611">
        <w:fldChar w:fldCharType="begin"/>
      </w:r>
      <w:r w:rsidR="00E52611" w:rsidRPr="00E52611">
        <w:instrText xml:space="preserve"> ADDIN BA \xc &lt;@leg&gt; \xl 23 \s QOQUYW000058 \l "155 Cong. Rec." </w:instrText>
      </w:r>
      <w:r w:rsidRPr="00E52611">
        <w:fldChar w:fldCharType="end"/>
      </w:r>
      <w:bookmarkStart w:id="140" w:name="_BA_Cite_250"/>
      <w:r w:rsidR="00437E55" w:rsidRPr="00E52611">
        <w:t xml:space="preserve">155 Cong. Rec. at </w:t>
      </w:r>
      <w:r w:rsidR="001B6321" w:rsidRPr="00E52611">
        <w:t>10211</w:t>
      </w:r>
      <w:bookmarkEnd w:id="140"/>
      <w:r w:rsidR="00896ED6">
        <w:t xml:space="preserve">. </w:t>
      </w:r>
    </w:p>
    <w:p w:rsidR="00896ED6" w:rsidRPr="00E52611" w:rsidRDefault="00896ED6" w:rsidP="00146EF4"/>
    <w:p w:rsidR="00F1497B" w:rsidRDefault="006D4BF8" w:rsidP="007361A3">
      <w:pPr>
        <w:pStyle w:val="ListParagraph"/>
        <w:tabs>
          <w:tab w:val="left" w:pos="630"/>
        </w:tabs>
        <w:spacing w:line="480" w:lineRule="auto"/>
        <w:ind w:left="0" w:firstLine="720"/>
      </w:pPr>
      <w:r>
        <w:t>The</w:t>
      </w:r>
      <w:r w:rsidR="008D7520" w:rsidRPr="00E52611">
        <w:t xml:space="preserve"> court of appeals incorrectly found it significant that “there [was] no congressional </w:t>
      </w:r>
      <w:r w:rsidR="008D7520" w:rsidRPr="00E52611">
        <w:rPr>
          <w:u w:val="single"/>
        </w:rPr>
        <w:t>finding</w:t>
      </w:r>
      <w:r w:rsidR="008D7520" w:rsidRPr="00E52611">
        <w:t xml:space="preserve"> of guilt in this case.” </w:t>
      </w:r>
      <w:r w:rsidR="00DF0559" w:rsidRPr="00E52611">
        <w:fldChar w:fldCharType="begin"/>
      </w:r>
      <w:r w:rsidR="00E52611" w:rsidRPr="00E52611">
        <w:instrText xml:space="preserve"> ADDIN BA \xc &lt;@rec&gt; \xl 10 \s QOQUYW000097 \xpl 1 \l "(R. at 22)" </w:instrText>
      </w:r>
      <w:r w:rsidR="00DF0559" w:rsidRPr="00E52611">
        <w:fldChar w:fldCharType="end"/>
      </w:r>
      <w:bookmarkStart w:id="141" w:name="_BA_Cite_251"/>
      <w:r w:rsidR="008D7520" w:rsidRPr="00E52611">
        <w:t>(R. at 22)</w:t>
      </w:r>
      <w:bookmarkEnd w:id="141"/>
      <w:r w:rsidR="008D7520" w:rsidRPr="00E52611">
        <w:t xml:space="preserve"> (emphasis in original). Yet as the court itself admitted, such a finding is not required. </w:t>
      </w:r>
      <w:r w:rsidR="00DF0559" w:rsidRPr="00E52611">
        <w:fldChar w:fldCharType="begin"/>
      </w:r>
      <w:r w:rsidR="00E52611" w:rsidRPr="00E52611">
        <w:instrText xml:space="preserve"> ADDIN BA \xc &lt;@rec&gt; \xl 10 \s QOQUYW000098 \xpl 1 \l "(R. at 23)" </w:instrText>
      </w:r>
      <w:r w:rsidR="00DF0559" w:rsidRPr="00E52611">
        <w:fldChar w:fldCharType="end"/>
      </w:r>
      <w:bookmarkStart w:id="142" w:name="_BA_Cite_252"/>
      <w:r w:rsidR="008D7520" w:rsidRPr="00E52611">
        <w:t>(R. at 23)</w:t>
      </w:r>
      <w:bookmarkEnd w:id="142"/>
      <w:r w:rsidR="008D7520" w:rsidRPr="00E52611">
        <w:t xml:space="preserve">; </w:t>
      </w:r>
      <w:r w:rsidR="008D7520" w:rsidRPr="00E52611">
        <w:rPr>
          <w:i/>
        </w:rPr>
        <w:t xml:space="preserve">see also </w:t>
      </w:r>
      <w:r w:rsidR="00DF0559" w:rsidRPr="00E52611">
        <w:fldChar w:fldCharType="begin"/>
      </w:r>
      <w:r w:rsidR="00E52611" w:rsidRPr="00E52611">
        <w:instrText xml:space="preserve"> ADDIN BA \xc &lt;@$cs&gt; \xl 22 \s QOQUYW000015 \xhfl Rep </w:instrText>
      </w:r>
      <w:r w:rsidR="00DF0559" w:rsidRPr="00E52611">
        <w:fldChar w:fldCharType="end"/>
      </w:r>
      <w:r w:rsidR="008D7520" w:rsidRPr="00E52611">
        <w:rPr>
          <w:i/>
        </w:rPr>
        <w:t>Nixon</w:t>
      </w:r>
      <w:r w:rsidR="00F1497B">
        <w:t xml:space="preserve">, 433 U.S. at 480. </w:t>
      </w:r>
      <w:r w:rsidR="008D7520" w:rsidRPr="00E52611">
        <w:t xml:space="preserve">While an official finding </w:t>
      </w:r>
      <w:r w:rsidR="00673CEA" w:rsidRPr="00E52611">
        <w:t>may be</w:t>
      </w:r>
      <w:r w:rsidR="008D7520" w:rsidRPr="00E52611">
        <w:t xml:space="preserve"> evidence of a punitive intent, </w:t>
      </w:r>
      <w:r w:rsidR="008D7520" w:rsidRPr="00E52611">
        <w:rPr>
          <w:i/>
        </w:rPr>
        <w:t xml:space="preserve">see </w:t>
      </w:r>
      <w:r w:rsidR="00DF0559" w:rsidRPr="00E52611">
        <w:fldChar w:fldCharType="begin"/>
      </w:r>
      <w:r w:rsidR="00E52611" w:rsidRPr="00E52611">
        <w:instrText xml:space="preserve"> ADDIN BA \xc &lt;@$cs&gt; \xl 23 \s QOQUYW000035 \xhfl Rep </w:instrText>
      </w:r>
      <w:r w:rsidR="00DF0559" w:rsidRPr="00E52611">
        <w:fldChar w:fldCharType="end"/>
      </w:r>
      <w:r w:rsidR="008D7520" w:rsidRPr="00E52611">
        <w:rPr>
          <w:i/>
        </w:rPr>
        <w:t>Lovett</w:t>
      </w:r>
      <w:r w:rsidR="008D7520" w:rsidRPr="00E52611">
        <w:t xml:space="preserve">, </w:t>
      </w:r>
      <w:r w:rsidR="008D7520" w:rsidRPr="00E52611">
        <w:rPr>
          <w:rFonts w:eastAsia="Times New Roman"/>
        </w:rPr>
        <w:t>328 U.S. at 314,</w:t>
      </w:r>
      <w:r w:rsidR="008D7520" w:rsidRPr="00E52611">
        <w:t xml:space="preserve"> the absence of such a finding </w:t>
      </w:r>
      <w:r w:rsidR="00673CEA" w:rsidRPr="00E52611">
        <w:t>is of no</w:t>
      </w:r>
      <w:r w:rsidR="008D7520" w:rsidRPr="00E52611">
        <w:t xml:space="preserve"> </w:t>
      </w:r>
      <w:r w:rsidR="00673CEA" w:rsidRPr="00E52611">
        <w:t>import</w:t>
      </w:r>
      <w:r w:rsidR="008D7520" w:rsidRPr="00E52611">
        <w:t xml:space="preserve">. </w:t>
      </w:r>
    </w:p>
    <w:p w:rsidR="00613856" w:rsidRPr="00E52611" w:rsidRDefault="00DF0559" w:rsidP="007361A3">
      <w:pPr>
        <w:pStyle w:val="ListParagraph"/>
        <w:tabs>
          <w:tab w:val="left" w:pos="630"/>
        </w:tabs>
        <w:spacing w:line="480" w:lineRule="auto"/>
        <w:ind w:left="0" w:firstLine="720"/>
      </w:pPr>
      <w:r w:rsidRPr="00E52611">
        <w:fldChar w:fldCharType="begin"/>
      </w:r>
      <w:r w:rsidR="00E52611" w:rsidRPr="00E52611">
        <w:instrText xml:space="preserve"> ADDIN BA \xc &lt;@reg&gt; \xl 96 \s QOQUYW000059 \l "Regardless, the House Oversight Committee Report, “Is ACORN a Criminally Structured Enterprise?”" </w:instrText>
      </w:r>
      <w:r w:rsidRPr="00E52611">
        <w:fldChar w:fldCharType="end"/>
      </w:r>
      <w:bookmarkStart w:id="143" w:name="_BA_Cite_253"/>
      <w:r w:rsidR="007A6859">
        <w:t>Moreover</w:t>
      </w:r>
      <w:r w:rsidR="008D7520" w:rsidRPr="00E52611">
        <w:t>, the House Oversight Committee Report, “Is ACORN a Criminally Structured Enterprise?”</w:t>
      </w:r>
      <w:bookmarkEnd w:id="143"/>
      <w:r w:rsidR="008D7520" w:rsidRPr="00E52611">
        <w:t xml:space="preserve"> is akin to an official finding of guilt. While the Committee did not hold secret hearings as in </w:t>
      </w:r>
      <w:r w:rsidRPr="00E52611">
        <w:fldChar w:fldCharType="begin"/>
      </w:r>
      <w:r w:rsidR="00E52611" w:rsidRPr="00E52611">
        <w:instrText xml:space="preserve"> ADDIN BA \xc &lt;@$cs&gt; \xl 6 \s QOQUYW000035 </w:instrText>
      </w:r>
      <w:r w:rsidRPr="00E52611">
        <w:fldChar w:fldCharType="end"/>
      </w:r>
      <w:r w:rsidR="008D7520" w:rsidRPr="00E52611">
        <w:rPr>
          <w:i/>
        </w:rPr>
        <w:t>Lovett</w:t>
      </w:r>
      <w:r w:rsidR="008D7520" w:rsidRPr="00E52611">
        <w:t>, th</w:t>
      </w:r>
      <w:r w:rsidR="0000587B">
        <w:t>e R</w:t>
      </w:r>
      <w:r w:rsidR="008D7520" w:rsidRPr="00E52611">
        <w:t xml:space="preserve">eport claims to </w:t>
      </w:r>
      <w:r w:rsidR="00714338" w:rsidRPr="00E52611">
        <w:t>“</w:t>
      </w:r>
      <w:r w:rsidR="008D7520" w:rsidRPr="00E52611">
        <w:t>find</w:t>
      </w:r>
      <w:r w:rsidR="00714338" w:rsidRPr="00E52611">
        <w:t>”</w:t>
      </w:r>
      <w:r w:rsidR="008D7520" w:rsidRPr="00E52611">
        <w:t xml:space="preserve"> ACORN guilty of a h</w:t>
      </w:r>
      <w:r w:rsidR="0000587B">
        <w:t>ost of illegal activities. The R</w:t>
      </w:r>
      <w:r w:rsidR="008D7520" w:rsidRPr="00E52611">
        <w:t>eport listed the following violations as “</w:t>
      </w:r>
      <w:r w:rsidR="008D7520" w:rsidRPr="00E52611">
        <w:rPr>
          <w:u w:val="single"/>
        </w:rPr>
        <w:t>Findings</w:t>
      </w:r>
      <w:r w:rsidR="00F530BE" w:rsidRPr="00E52611">
        <w:t>”:</w:t>
      </w:r>
      <w:r w:rsidR="00714338" w:rsidRPr="00E52611">
        <w:t xml:space="preserve"> </w:t>
      </w:r>
      <w:r w:rsidR="00613856" w:rsidRPr="00E52611">
        <w:t>abuse of federal funds</w:t>
      </w:r>
      <w:r w:rsidR="008D7520" w:rsidRPr="00E52611">
        <w:t>;</w:t>
      </w:r>
      <w:r w:rsidR="00F530BE" w:rsidRPr="00E52611">
        <w:t xml:space="preserve"> </w:t>
      </w:r>
      <w:r w:rsidR="00613856" w:rsidRPr="00E52611">
        <w:t>f</w:t>
      </w:r>
      <w:r w:rsidR="008D7520" w:rsidRPr="00E52611">
        <w:t xml:space="preserve">raud in the cover up of the Rathke embezzlement; </w:t>
      </w:r>
      <w:r w:rsidR="00613856" w:rsidRPr="00E52611">
        <w:t>v</w:t>
      </w:r>
      <w:r w:rsidR="004877AD" w:rsidRPr="00E52611">
        <w:t>iolation of</w:t>
      </w:r>
      <w:r w:rsidR="008D7520" w:rsidRPr="00E52611">
        <w:t xml:space="preserve"> its Articles of Incorporation;</w:t>
      </w:r>
      <w:r w:rsidR="00613856" w:rsidRPr="00E52611">
        <w:t xml:space="preserve"> f</w:t>
      </w:r>
      <w:r w:rsidR="008D7520" w:rsidRPr="00E52611">
        <w:t>ailure to comply with IRS filing requirements;</w:t>
      </w:r>
      <w:r w:rsidR="00F530BE" w:rsidRPr="00E52611">
        <w:t xml:space="preserve"> </w:t>
      </w:r>
      <w:r w:rsidR="00613856" w:rsidRPr="00E52611">
        <w:t xml:space="preserve">violating </w:t>
      </w:r>
      <w:r w:rsidRPr="00E52611">
        <w:fldChar w:fldCharType="begin"/>
      </w:r>
      <w:r w:rsidR="00E52611" w:rsidRPr="00E52611">
        <w:instrText xml:space="preserve"> ADDIN BA \xc &lt;@$st&gt; \xl 5 \s QOQUYW000005 </w:instrText>
      </w:r>
      <w:r w:rsidRPr="00E52611">
        <w:fldChar w:fldCharType="end"/>
      </w:r>
      <w:bookmarkStart w:id="144" w:name="_BA_Cite_254"/>
      <w:r w:rsidR="00613856" w:rsidRPr="00E52611">
        <w:t>ERISA</w:t>
      </w:r>
      <w:bookmarkEnd w:id="144"/>
      <w:r w:rsidR="00613856" w:rsidRPr="00E52611">
        <w:t xml:space="preserve"> laws</w:t>
      </w:r>
      <w:r w:rsidR="008D7520" w:rsidRPr="00E52611">
        <w:t xml:space="preserve">; </w:t>
      </w:r>
      <w:r w:rsidR="00613856" w:rsidRPr="00E52611">
        <w:t>m</w:t>
      </w:r>
      <w:r w:rsidR="008D7520" w:rsidRPr="00E52611">
        <w:t xml:space="preserve">isusing federal funds; </w:t>
      </w:r>
      <w:r w:rsidR="00613856" w:rsidRPr="00E52611">
        <w:t>e</w:t>
      </w:r>
      <w:r w:rsidR="008D7520" w:rsidRPr="00E52611">
        <w:t xml:space="preserve">mploying </w:t>
      </w:r>
      <w:r w:rsidR="00193071" w:rsidRPr="00E52611">
        <w:t xml:space="preserve">convicted felons; </w:t>
      </w:r>
      <w:r w:rsidR="00613856" w:rsidRPr="00E52611">
        <w:t>e</w:t>
      </w:r>
      <w:r w:rsidR="008D7520" w:rsidRPr="00E52611">
        <w:t xml:space="preserve">ngaging in fraudulent registrations; and </w:t>
      </w:r>
      <w:r w:rsidR="00613856" w:rsidRPr="00E52611">
        <w:t>performing</w:t>
      </w:r>
      <w:r w:rsidR="002D6164" w:rsidRPr="00E52611">
        <w:t xml:space="preserve"> </w:t>
      </w:r>
      <w:r w:rsidR="008D7520" w:rsidRPr="00E52611">
        <w:t>illicit political lobbying.</w:t>
      </w:r>
      <w:r w:rsidR="007361A3" w:rsidRPr="00E52611">
        <w:t xml:space="preserve"> </w:t>
      </w:r>
      <w:r w:rsidRPr="00E52611">
        <w:fldChar w:fldCharType="begin"/>
      </w:r>
      <w:r w:rsidR="00E52611" w:rsidRPr="00E52611">
        <w:instrText xml:space="preserve"> ADDIN BA \xc &lt;@reg&gt; \xl 28 \s QOQUYW000060 \l "Oversight Committee Report I" </w:instrText>
      </w:r>
      <w:r w:rsidRPr="00E52611">
        <w:fldChar w:fldCharType="end"/>
      </w:r>
      <w:bookmarkStart w:id="145" w:name="_BA_Cite_255"/>
      <w:r w:rsidR="008D7520" w:rsidRPr="00E52611">
        <w:t>Oversight Committee Report I</w:t>
      </w:r>
      <w:bookmarkEnd w:id="145"/>
      <w:r w:rsidR="008D7520" w:rsidRPr="00E52611">
        <w:t xml:space="preserve">, at 6-7. </w:t>
      </w:r>
    </w:p>
    <w:p w:rsidR="00E54897" w:rsidRPr="00E52611" w:rsidRDefault="004877AD" w:rsidP="00F530BE">
      <w:pPr>
        <w:tabs>
          <w:tab w:val="left" w:pos="630"/>
        </w:tabs>
        <w:spacing w:line="480" w:lineRule="auto"/>
      </w:pPr>
      <w:r w:rsidRPr="00E52611">
        <w:tab/>
      </w:r>
      <w:r w:rsidR="00E54897" w:rsidRPr="00E52611">
        <w:t>The fact that members of Congress attacked ACORN on the floors of Congres</w:t>
      </w:r>
      <w:r w:rsidR="006A0FF5" w:rsidRPr="00E52611">
        <w:t>s for</w:t>
      </w:r>
      <w:r w:rsidR="00E54897" w:rsidRPr="00E52611">
        <w:t xml:space="preserve"> most salacious crimes without regard for whether these alleged acts were either truthful or related to the federal funding </w:t>
      </w:r>
      <w:r w:rsidR="006A0FF5" w:rsidRPr="00E52611">
        <w:t xml:space="preserve">ACORN received </w:t>
      </w:r>
      <w:r w:rsidR="006A0FF5" w:rsidRPr="00E52611">
        <w:lastRenderedPageBreak/>
        <w:t>demonstrates punitive</w:t>
      </w:r>
      <w:r w:rsidR="005A2065" w:rsidRPr="00E52611">
        <w:t xml:space="preserve"> intent. </w:t>
      </w:r>
      <w:r w:rsidR="005562A8" w:rsidRPr="00E52611">
        <w:t>Like</w:t>
      </w:r>
      <w:r w:rsidR="00C14A53" w:rsidRPr="00E52611">
        <w:t xml:space="preserve"> </w:t>
      </w:r>
      <w:r w:rsidR="00564B7F" w:rsidRPr="00E52611">
        <w:t>defendant</w:t>
      </w:r>
      <w:r w:rsidR="00981BB8" w:rsidRPr="00E52611">
        <w:t xml:space="preserve"> </w:t>
      </w:r>
      <w:r w:rsidR="008D7520" w:rsidRPr="00E52611">
        <w:t xml:space="preserve">in </w:t>
      </w:r>
      <w:r w:rsidR="00DF0559" w:rsidRPr="00E52611">
        <w:fldChar w:fldCharType="begin"/>
      </w:r>
      <w:r w:rsidR="00E52611" w:rsidRPr="00E52611">
        <w:instrText xml:space="preserve"> ADDIN BA \xc &lt;@$cs&gt; \xl 7 \s QOQUYW000051 </w:instrText>
      </w:r>
      <w:r w:rsidR="00DF0559" w:rsidRPr="00E52611">
        <w:fldChar w:fldCharType="end"/>
      </w:r>
      <w:r w:rsidR="008D7520" w:rsidRPr="00E52611">
        <w:rPr>
          <w:i/>
        </w:rPr>
        <w:t>Cansler</w:t>
      </w:r>
      <w:r w:rsidR="008D7520" w:rsidRPr="00E52611">
        <w:t xml:space="preserve">, Congress was largely wrong about ACORN. </w:t>
      </w:r>
      <w:r w:rsidR="00DF0559" w:rsidRPr="00E52611">
        <w:fldChar w:fldCharType="begin"/>
      </w:r>
      <w:r w:rsidR="00E52611" w:rsidRPr="00E52611">
        <w:instrText xml:space="preserve"> ADDIN BA \xc &lt;@$cs&gt; \xl 22 \s QOQUYW000051 \xhfl Rep </w:instrText>
      </w:r>
      <w:r w:rsidR="00DF0559" w:rsidRPr="00E52611">
        <w:fldChar w:fldCharType="end"/>
      </w:r>
      <w:r w:rsidR="001D0A4B" w:rsidRPr="00E52611">
        <w:t xml:space="preserve">804 F. Supp. 2d at 496. </w:t>
      </w:r>
      <w:r w:rsidR="008D7520" w:rsidRPr="00E52611">
        <w:t>Several independent reports found that ACORN had</w:t>
      </w:r>
      <w:r w:rsidR="0032137E" w:rsidRPr="00E52611">
        <w:t xml:space="preserve"> not misused federal funds. GAO Report at 6; Harshbarger at 3; </w:t>
      </w:r>
      <w:r w:rsidR="00DF0559" w:rsidRPr="00E52611">
        <w:fldChar w:fldCharType="begin"/>
      </w:r>
      <w:r w:rsidR="00E52611" w:rsidRPr="00E52611">
        <w:instrText xml:space="preserve"> ADDIN BA \xc &lt;@$reg&gt; \xl 19 \s QOQUYW000012 </w:instrText>
      </w:r>
      <w:r w:rsidR="00DF0559" w:rsidRPr="00E52611">
        <w:fldChar w:fldCharType="end"/>
      </w:r>
      <w:bookmarkStart w:id="146" w:name="_BA_Cite_256"/>
      <w:r w:rsidR="0032137E" w:rsidRPr="00E52611">
        <w:t xml:space="preserve">CRS ACORN Memo at </w:t>
      </w:r>
      <w:r w:rsidR="00564B7F" w:rsidRPr="00E52611">
        <w:t>1</w:t>
      </w:r>
      <w:bookmarkEnd w:id="146"/>
      <w:r w:rsidR="0032137E" w:rsidRPr="00E52611">
        <w:t>.</w:t>
      </w:r>
      <w:r w:rsidR="005C21FF" w:rsidRPr="00E52611">
        <w:t xml:space="preserve"> </w:t>
      </w:r>
      <w:r w:rsidR="00BD4B01" w:rsidRPr="00E52611">
        <w:t>And Congress’ attacks on ACORN had very little to do with the true relation between AC</w:t>
      </w:r>
      <w:r w:rsidR="00F0133B" w:rsidRPr="00E52611">
        <w:t>ORN and the federal gove</w:t>
      </w:r>
      <w:r w:rsidR="00C14A53" w:rsidRPr="00E52611">
        <w:t>rnment</w:t>
      </w:r>
      <w:r w:rsidR="00BD4B01" w:rsidRPr="00E52611">
        <w:t xml:space="preserve">. </w:t>
      </w:r>
      <w:r w:rsidR="004D636C" w:rsidRPr="00E52611">
        <w:t xml:space="preserve">As mentioned, </w:t>
      </w:r>
      <w:r w:rsidR="00F0133B" w:rsidRPr="00E52611">
        <w:t>the vast majority</w:t>
      </w:r>
      <w:r w:rsidR="004D636C" w:rsidRPr="00E52611">
        <w:t xml:space="preserve"> federal funding provided to ACORN went to its housing initiatives, which were not at the center of the allegations levied against ACORN. </w:t>
      </w:r>
      <w:r w:rsidR="00EF40A8" w:rsidRPr="00E52611">
        <w:rPr>
          <w:i/>
        </w:rPr>
        <w:t xml:space="preserve">See </w:t>
      </w:r>
      <w:r w:rsidR="00EF40A8" w:rsidRPr="00E52611">
        <w:t xml:space="preserve">GAO Report at 8-13. </w:t>
      </w:r>
      <w:r w:rsidR="004D636C" w:rsidRPr="00E52611">
        <w:t xml:space="preserve">Less than 0.001% of the funding </w:t>
      </w:r>
      <w:r w:rsidR="00BA43A6" w:rsidRPr="00E52611">
        <w:t xml:space="preserve">went to Project Vote, which was accused of engaging in voter </w:t>
      </w:r>
      <w:r w:rsidR="00382E9C" w:rsidRPr="00E52611">
        <w:t xml:space="preserve">registration </w:t>
      </w:r>
      <w:r w:rsidR="00BA43A6" w:rsidRPr="00E52611">
        <w:t xml:space="preserve">fraud by members of Congress. </w:t>
      </w:r>
      <w:r w:rsidR="00DF0559" w:rsidRPr="00E52611">
        <w:fldChar w:fldCharType="begin"/>
      </w:r>
      <w:r w:rsidR="00E52611" w:rsidRPr="00E52611">
        <w:instrText xml:space="preserve"> ADDIN BA \xc &lt;@$id&gt; \xl 3 \s ID </w:instrText>
      </w:r>
      <w:r w:rsidR="00DF0559" w:rsidRPr="00E52611">
        <w:fldChar w:fldCharType="end"/>
      </w:r>
      <w:r w:rsidR="00EF40A8" w:rsidRPr="00E52611">
        <w:rPr>
          <w:i/>
        </w:rPr>
        <w:t xml:space="preserve">Id. </w:t>
      </w:r>
      <w:r w:rsidR="00BA43A6" w:rsidRPr="00E52611">
        <w:t>No federal funds went to supporting any other alleged wrongdoings such as child prostitution or illegal immigration.</w:t>
      </w:r>
      <w:r w:rsidR="00EF40A8" w:rsidRPr="00E52611">
        <w:t xml:space="preserve"> </w:t>
      </w:r>
      <w:r w:rsidR="00EF40A8" w:rsidRPr="00E52611">
        <w:rPr>
          <w:i/>
        </w:rPr>
        <w:t xml:space="preserve">See </w:t>
      </w:r>
      <w:r w:rsidR="00DF0559" w:rsidRPr="00E52611">
        <w:fldChar w:fldCharType="begin"/>
      </w:r>
      <w:r w:rsidR="00E52611" w:rsidRPr="00E52611">
        <w:instrText xml:space="preserve"> ADDIN BA \xc &lt;@$id&gt; \xl 3 \s ID </w:instrText>
      </w:r>
      <w:r w:rsidR="00DF0559" w:rsidRPr="00E52611">
        <w:fldChar w:fldCharType="end"/>
      </w:r>
      <w:r w:rsidR="00EF40A8" w:rsidRPr="00E52611">
        <w:rPr>
          <w:i/>
        </w:rPr>
        <w:t>id.</w:t>
      </w:r>
      <w:r w:rsidR="004D636C" w:rsidRPr="00E52611">
        <w:t xml:space="preserve"> </w:t>
      </w:r>
      <w:r w:rsidR="006A0FF5" w:rsidRPr="00E52611">
        <w:t>If Congress w</w:t>
      </w:r>
      <w:r w:rsidR="0043426E">
        <w:t>as</w:t>
      </w:r>
      <w:r w:rsidR="00BD4B01" w:rsidRPr="00E52611">
        <w:t xml:space="preserve"> truly concerned wi</w:t>
      </w:r>
      <w:r w:rsidR="00C4549F" w:rsidRPr="00E52611">
        <w:t>th protecting taxpayer dollars</w:t>
      </w:r>
      <w:r w:rsidR="00BD4B01" w:rsidRPr="00E52611">
        <w:t>, it should have</w:t>
      </w:r>
      <w:r w:rsidR="00132F13" w:rsidRPr="00E52611">
        <w:t xml:space="preserve"> predicated any funding ban on the results of the GAO report</w:t>
      </w:r>
      <w:r w:rsidR="00BD4B01" w:rsidRPr="00E52611">
        <w:t xml:space="preserve">. But instead, </w:t>
      </w:r>
      <w:r w:rsidR="00986451">
        <w:t>Congress</w:t>
      </w:r>
      <w:r w:rsidR="00D51589">
        <w:t xml:space="preserve"> used the appropriations laws to punish </w:t>
      </w:r>
      <w:r w:rsidR="00BD4B01" w:rsidRPr="00E52611">
        <w:t xml:space="preserve">ACORN for wrongs it did not commit and </w:t>
      </w:r>
      <w:r w:rsidR="00B92D7F" w:rsidRPr="00E52611">
        <w:t>that</w:t>
      </w:r>
      <w:r w:rsidR="00AC65B1" w:rsidRPr="00E52611">
        <w:t xml:space="preserve"> </w:t>
      </w:r>
      <w:r w:rsidR="00BD4B01" w:rsidRPr="00E52611">
        <w:t xml:space="preserve">were </w:t>
      </w:r>
      <w:r w:rsidR="00E128CC">
        <w:t xml:space="preserve">largely </w:t>
      </w:r>
      <w:r w:rsidR="00BD4B01" w:rsidRPr="00E52611">
        <w:t xml:space="preserve">unrelated to </w:t>
      </w:r>
      <w:r w:rsidR="0018113D" w:rsidRPr="00E52611">
        <w:t xml:space="preserve">ACORN’s </w:t>
      </w:r>
      <w:r w:rsidR="00BD4B01" w:rsidRPr="00E52611">
        <w:t xml:space="preserve">federal </w:t>
      </w:r>
      <w:r w:rsidR="0018113D" w:rsidRPr="00E52611">
        <w:t xml:space="preserve">funding. </w:t>
      </w:r>
    </w:p>
    <w:p w:rsidR="007744D1" w:rsidRPr="00E52611" w:rsidRDefault="00AD78FF" w:rsidP="00531C8C">
      <w:pPr>
        <w:pStyle w:val="Heading1"/>
        <w:jc w:val="center"/>
      </w:pPr>
      <w:bookmarkStart w:id="147" w:name="_Toc190667452"/>
      <w:r w:rsidRPr="00E52611">
        <w:t>C</w:t>
      </w:r>
      <w:bookmarkEnd w:id="147"/>
      <w:r w:rsidR="000A558A" w:rsidRPr="00E52611">
        <w:t>ONCLUSION</w:t>
      </w:r>
    </w:p>
    <w:p w:rsidR="00736353" w:rsidRPr="00E52611" w:rsidRDefault="00736353" w:rsidP="00736353"/>
    <w:p w:rsidR="003329AD" w:rsidRPr="00E52611" w:rsidRDefault="00E56825" w:rsidP="00E56825">
      <w:pPr>
        <w:spacing w:line="480" w:lineRule="auto"/>
      </w:pPr>
      <w:r w:rsidRPr="00E52611">
        <w:tab/>
        <w:t xml:space="preserve">Petitioner respectfully requests that the Court reverse the </w:t>
      </w:r>
      <w:r w:rsidR="00C40939">
        <w:t xml:space="preserve">decision of the </w:t>
      </w:r>
      <w:r w:rsidR="005E1C55">
        <w:t>Second Circuit</w:t>
      </w:r>
      <w:r w:rsidRPr="00E52611">
        <w:t>.</w:t>
      </w:r>
    </w:p>
    <w:p w:rsidR="003329AD" w:rsidRPr="00E52611" w:rsidRDefault="003329AD" w:rsidP="00CC0DAE">
      <w:pPr>
        <w:autoSpaceDE w:val="0"/>
        <w:autoSpaceDN w:val="0"/>
        <w:adjustRightInd w:val="0"/>
        <w:spacing w:line="480" w:lineRule="auto"/>
        <w:jc w:val="right"/>
        <w:rPr>
          <w:rFonts w:cs="Century"/>
        </w:rPr>
      </w:pPr>
      <w:r w:rsidRPr="00E52611">
        <w:rPr>
          <w:rFonts w:cs="Century"/>
        </w:rPr>
        <w:t>Respectfully submitted,</w:t>
      </w:r>
    </w:p>
    <w:p w:rsidR="00CC0DAE" w:rsidRPr="00E52611" w:rsidRDefault="00CC0DAE" w:rsidP="00CC0DAE">
      <w:pPr>
        <w:autoSpaceDE w:val="0"/>
        <w:autoSpaceDN w:val="0"/>
        <w:adjustRightInd w:val="0"/>
        <w:spacing w:line="480" w:lineRule="auto"/>
        <w:jc w:val="right"/>
        <w:rPr>
          <w:rFonts w:cs="Century"/>
        </w:rPr>
      </w:pPr>
    </w:p>
    <w:p w:rsidR="0047035E" w:rsidRPr="00E52611" w:rsidRDefault="003329AD" w:rsidP="006D5A97">
      <w:pPr>
        <w:autoSpaceDE w:val="0"/>
        <w:autoSpaceDN w:val="0"/>
        <w:adjustRightInd w:val="0"/>
        <w:jc w:val="right"/>
        <w:rPr>
          <w:rFonts w:cs="Century"/>
        </w:rPr>
      </w:pPr>
      <w:r w:rsidRPr="00E52611">
        <w:rPr>
          <w:rFonts w:cs="Century"/>
        </w:rPr>
        <w:t>Danielle Serbin</w:t>
      </w:r>
    </w:p>
    <w:p w:rsidR="00A92CD0" w:rsidRPr="00E52611" w:rsidRDefault="003329AD" w:rsidP="006D5A97">
      <w:pPr>
        <w:spacing w:line="480" w:lineRule="auto"/>
        <w:jc w:val="right"/>
        <w:rPr>
          <w:rFonts w:cs="Century"/>
        </w:rPr>
      </w:pPr>
      <w:r w:rsidRPr="00E52611">
        <w:rPr>
          <w:rFonts w:cs="Century"/>
        </w:rPr>
        <w:t>February 15, 2012</w:t>
      </w:r>
      <w:bookmarkEnd w:id="7"/>
    </w:p>
    <w:sectPr w:rsidR="00A92CD0" w:rsidRPr="00E52611" w:rsidSect="007C36D7">
      <w:footerReference w:type="default" r:id="rId13"/>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104" w:rsidRPr="00E52611" w:rsidRDefault="002F2104" w:rsidP="00E469FB">
      <w:r w:rsidRPr="00E52611">
        <w:separator/>
      </w:r>
    </w:p>
  </w:endnote>
  <w:endnote w:type="continuationSeparator" w:id="0">
    <w:p w:rsidR="002F2104" w:rsidRPr="00E52611" w:rsidRDefault="002F2104" w:rsidP="00E469FB">
      <w:r w:rsidRPr="00E52611">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NewCenturySchlbk-Bold">
    <w:altName w:val="Times New Roman"/>
    <w:panose1 w:val="00000000000000000000"/>
    <w:charset w:val="00"/>
    <w:family w:val="roman"/>
    <w:notTrueType/>
    <w:pitch w:val="default"/>
    <w:sig w:usb0="00000003" w:usb1="00000000" w:usb2="00000000" w:usb3="00000000" w:csb0="00000001" w:csb1="00000000"/>
  </w:font>
  <w:font w:name="NewCenturySchlbk-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04" w:rsidRPr="00E52611" w:rsidRDefault="00DF0559" w:rsidP="00FF6F5A">
    <w:pPr>
      <w:pStyle w:val="Footer"/>
      <w:framePr w:wrap="around" w:vAnchor="text" w:hAnchor="margin" w:xAlign="center" w:y="1"/>
      <w:rPr>
        <w:rStyle w:val="PageNumber"/>
      </w:rPr>
    </w:pPr>
    <w:r w:rsidRPr="00E52611">
      <w:rPr>
        <w:rStyle w:val="PageNumber"/>
      </w:rPr>
      <w:fldChar w:fldCharType="begin"/>
    </w:r>
    <w:r w:rsidR="002F2104" w:rsidRPr="00E52611">
      <w:rPr>
        <w:rStyle w:val="PageNumber"/>
      </w:rPr>
      <w:instrText xml:space="preserve">PAGE  </w:instrText>
    </w:r>
    <w:r w:rsidRPr="00E52611">
      <w:rPr>
        <w:rStyle w:val="PageNumber"/>
      </w:rPr>
      <w:fldChar w:fldCharType="end"/>
    </w:r>
  </w:p>
  <w:p w:rsidR="002F2104" w:rsidRPr="00E52611" w:rsidRDefault="002F2104" w:rsidP="00FF6F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04" w:rsidRPr="00E52611" w:rsidRDefault="00DF0559" w:rsidP="00FF6F5A">
    <w:pPr>
      <w:pStyle w:val="Footer"/>
      <w:framePr w:wrap="around" w:vAnchor="text" w:hAnchor="margin" w:xAlign="center" w:y="1"/>
      <w:rPr>
        <w:rStyle w:val="PageNumber"/>
      </w:rPr>
    </w:pPr>
    <w:r w:rsidRPr="00E52611">
      <w:rPr>
        <w:rStyle w:val="PageNumber"/>
      </w:rPr>
      <w:fldChar w:fldCharType="begin"/>
    </w:r>
    <w:r w:rsidR="002F2104" w:rsidRPr="00E52611">
      <w:rPr>
        <w:rStyle w:val="PageNumber"/>
      </w:rPr>
      <w:instrText xml:space="preserve">PAGE  </w:instrText>
    </w:r>
    <w:r w:rsidRPr="00E52611">
      <w:rPr>
        <w:rStyle w:val="PageNumber"/>
      </w:rPr>
      <w:fldChar w:fldCharType="separate"/>
    </w:r>
    <w:r w:rsidR="009360B0">
      <w:rPr>
        <w:rStyle w:val="PageNumber"/>
        <w:noProof/>
      </w:rPr>
      <w:t>vii</w:t>
    </w:r>
    <w:r w:rsidRPr="00E52611">
      <w:rPr>
        <w:rStyle w:val="PageNumber"/>
      </w:rPr>
      <w:fldChar w:fldCharType="end"/>
    </w:r>
  </w:p>
  <w:p w:rsidR="002F2104" w:rsidRPr="00E52611" w:rsidRDefault="002F2104" w:rsidP="00FF6F5A">
    <w:pPr>
      <w:pStyle w:val="Footer"/>
      <w:ind w:right="360"/>
      <w:jc w:val="center"/>
    </w:pPr>
  </w:p>
  <w:p w:rsidR="002F2104" w:rsidRPr="00E52611" w:rsidRDefault="002F21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04" w:rsidRPr="00E52611" w:rsidRDefault="002F2104" w:rsidP="00FF6F5A">
    <w:pPr>
      <w:pStyle w:val="Footer"/>
      <w:ind w:right="360"/>
      <w:jc w:val="center"/>
    </w:pPr>
  </w:p>
  <w:p w:rsidR="002F2104" w:rsidRPr="00E52611" w:rsidRDefault="002F210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19832"/>
      <w:docPartObj>
        <w:docPartGallery w:val="Page Numbers (Bottom of Page)"/>
        <w:docPartUnique/>
      </w:docPartObj>
    </w:sdtPr>
    <w:sdtContent>
      <w:p w:rsidR="002F2104" w:rsidRPr="00DE66DA" w:rsidRDefault="00DF0559">
        <w:pPr>
          <w:pStyle w:val="Footer"/>
          <w:jc w:val="center"/>
        </w:pPr>
        <w:r w:rsidRPr="00DE66DA">
          <w:fldChar w:fldCharType="begin"/>
        </w:r>
        <w:r w:rsidR="002F2104" w:rsidRPr="00DE66DA">
          <w:instrText xml:space="preserve"> PAGE   \* MERGEFORMAT </w:instrText>
        </w:r>
        <w:r w:rsidRPr="00DE66DA">
          <w:fldChar w:fldCharType="separate"/>
        </w:r>
        <w:r w:rsidR="009360B0">
          <w:rPr>
            <w:noProof/>
          </w:rPr>
          <w:t>1</w:t>
        </w:r>
        <w:r w:rsidRPr="00DE66DA">
          <w:fldChar w:fldCharType="end"/>
        </w:r>
      </w:p>
    </w:sdtContent>
  </w:sdt>
  <w:p w:rsidR="002F2104" w:rsidRDefault="002F210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08273"/>
      <w:docPartObj>
        <w:docPartGallery w:val="Page Numbers (Bottom of Page)"/>
        <w:docPartUnique/>
      </w:docPartObj>
    </w:sdtPr>
    <w:sdtContent>
      <w:p w:rsidR="002F2104" w:rsidRPr="00CA29F4" w:rsidRDefault="00DF0559">
        <w:pPr>
          <w:pStyle w:val="Footer"/>
          <w:jc w:val="center"/>
        </w:pPr>
        <w:r w:rsidRPr="008C03DB">
          <w:fldChar w:fldCharType="begin"/>
        </w:r>
        <w:r w:rsidR="002F2104" w:rsidRPr="008C03DB">
          <w:instrText xml:space="preserve"> PAGE   \* MERGEFORMAT </w:instrText>
        </w:r>
        <w:r w:rsidRPr="008C03DB">
          <w:fldChar w:fldCharType="separate"/>
        </w:r>
        <w:r w:rsidR="009360B0">
          <w:rPr>
            <w:noProof/>
          </w:rPr>
          <w:t>40</w:t>
        </w:r>
        <w:r w:rsidRPr="008C03DB">
          <w:rPr>
            <w:noProof/>
          </w:rPr>
          <w:fldChar w:fldCharType="end"/>
        </w:r>
      </w:p>
    </w:sdtContent>
  </w:sdt>
  <w:p w:rsidR="002F2104" w:rsidRDefault="002F2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104" w:rsidRPr="00E52611" w:rsidRDefault="002F2104" w:rsidP="00E469FB">
      <w:r w:rsidRPr="00E52611">
        <w:separator/>
      </w:r>
    </w:p>
  </w:footnote>
  <w:footnote w:type="continuationSeparator" w:id="0">
    <w:p w:rsidR="002F2104" w:rsidRPr="00E52611" w:rsidRDefault="002F2104" w:rsidP="00E469FB">
      <w:r w:rsidRPr="00E52611">
        <w:continuationSeparator/>
      </w:r>
    </w:p>
  </w:footnote>
  <w:footnote w:id="1">
    <w:p w:rsidR="002F2104" w:rsidRPr="00E52611" w:rsidRDefault="002F2104">
      <w:pPr>
        <w:pStyle w:val="FootnoteText"/>
      </w:pPr>
      <w:r w:rsidRPr="00E52611">
        <w:rPr>
          <w:rStyle w:val="FootnoteReference"/>
        </w:rPr>
        <w:footnoteRef/>
      </w:r>
      <w:r w:rsidRPr="00E52611">
        <w:t xml:space="preserve"> </w:t>
      </w:r>
      <w:r w:rsidR="00DF0559" w:rsidRPr="00E52611">
        <w:fldChar w:fldCharType="begin"/>
      </w:r>
      <w:r w:rsidR="00E52611" w:rsidRPr="00E52611">
        <w:instrText xml:space="preserve"> ADDIN BA \xc &lt;@nper&gt; \xl 128 \s QOQUYW000062 \l "Scott Harshbarger and Amy Crafts, </w:instrText>
      </w:r>
      <w:r w:rsidR="00E52611" w:rsidRPr="00E52611">
        <w:rPr>
          <w:i/>
        </w:rPr>
        <w:instrText>An Independent Governance Assessment of ACORN: the Path to Meaningful Reform</w:instrText>
      </w:r>
      <w:r w:rsidR="00E52611" w:rsidRPr="00E52611">
        <w:instrText xml:space="preserve"> (Dec. 7, 2009)" </w:instrText>
      </w:r>
      <w:r w:rsidR="00DF0559" w:rsidRPr="00E52611">
        <w:fldChar w:fldCharType="end"/>
      </w:r>
      <w:bookmarkStart w:id="9" w:name="_BA_Cite_130"/>
      <w:r w:rsidRPr="00E52611">
        <w:t xml:space="preserve">Scott Harshbarger and Amy Crafts, </w:t>
      </w:r>
      <w:r w:rsidRPr="00E52611">
        <w:rPr>
          <w:i/>
        </w:rPr>
        <w:t>An Independent Governance Assessment of ACORN: the Path to Meaningful Reform</w:t>
      </w:r>
      <w:r w:rsidRPr="00E52611">
        <w:t>, 5 (Dec. 7, 2009)</w:t>
      </w:r>
      <w:bookmarkEnd w:id="9"/>
      <w:r w:rsidRPr="00E52611">
        <w:t xml:space="preserve"> (unpublished internal report), available at </w:t>
      </w:r>
      <w:r w:rsidR="00DF0559" w:rsidRPr="00E52611">
        <w:fldChar w:fldCharType="begin"/>
      </w:r>
      <w:r w:rsidR="00E52611" w:rsidRPr="00E52611">
        <w:instrText xml:space="preserve"> ADDIN BA \xc &lt;@nper&gt; \xl 51 \s QOQUYW000063 \l "http://www.proskauer.com/files/uploads/report2.pdf." </w:instrText>
      </w:r>
      <w:r w:rsidR="00DF0559" w:rsidRPr="00E52611">
        <w:fldChar w:fldCharType="end"/>
      </w:r>
      <w:bookmarkStart w:id="10" w:name="_BA_Cite_131"/>
      <w:r w:rsidRPr="00E52611">
        <w:t>http://www.proskauer.com/files/uploads/report2.pdf.</w:t>
      </w:r>
      <w:bookmarkEnd w:id="10"/>
    </w:p>
  </w:footnote>
  <w:footnote w:id="2">
    <w:p w:rsidR="002F2104" w:rsidRPr="00E52611" w:rsidRDefault="002F2104">
      <w:pPr>
        <w:pStyle w:val="FootnoteText"/>
      </w:pPr>
      <w:r w:rsidRPr="00E52611">
        <w:rPr>
          <w:rStyle w:val="FootnoteReference"/>
        </w:rPr>
        <w:footnoteRef/>
      </w:r>
      <w:r w:rsidRPr="00E52611">
        <w:t xml:space="preserve"> </w:t>
      </w:r>
      <w:r w:rsidRPr="00E52611">
        <w:rPr>
          <w:rFonts w:cs="TimesNewRoman"/>
        </w:rPr>
        <w:t xml:space="preserve">U.S. GOV’T ACCOUNTABILITY OFFICE, WASHINGTON, D.C., PRELIMINARY OBSERVATIONS ON FUNDING, OVERSIGHT, AND INVESTIGATIONS AND PROSECUTIONS OF ACORN OR POTENTIALLY RELATED ORGANIZATIONS 7 (June 14, 2010) </w:t>
      </w:r>
      <w:r w:rsidRPr="00E52611">
        <w:t xml:space="preserve">(hereafter “GAO Report”). </w:t>
      </w:r>
      <w:r w:rsidR="00DF0559" w:rsidRPr="00E52611">
        <w:fldChar w:fldCharType="begin"/>
      </w:r>
      <w:r w:rsidR="00E52611" w:rsidRPr="00E52611">
        <w:instrText xml:space="preserve"> ADDIN BA \xc &lt;@nper&gt; \xl 54 \s QOQUYW000065 \l "</w:instrText>
      </w:r>
      <w:r w:rsidR="00E52611" w:rsidRPr="00E52611">
        <w:rPr>
          <w:i/>
        </w:rPr>
        <w:instrText xml:space="preserve">Available at </w:instrText>
      </w:r>
      <w:r w:rsidR="00E52611" w:rsidRPr="00E52611">
        <w:rPr>
          <w:rFonts w:cs="TimesNewRoman"/>
        </w:rPr>
        <w:instrText>http://www.gao.gov/new.items/d10648r.pdf</w:instrText>
      </w:r>
      <w:r w:rsidR="00E52611" w:rsidRPr="00E52611">
        <w:instrText xml:space="preserve">." </w:instrText>
      </w:r>
      <w:r w:rsidR="00DF0559" w:rsidRPr="00E52611">
        <w:fldChar w:fldCharType="end"/>
      </w:r>
      <w:bookmarkStart w:id="14" w:name="_BA_Cite_135"/>
      <w:r w:rsidRPr="00E52611">
        <w:rPr>
          <w:i/>
        </w:rPr>
        <w:t xml:space="preserve">Available at </w:t>
      </w:r>
      <w:r w:rsidRPr="00E52611">
        <w:rPr>
          <w:rFonts w:cs="TimesNewRoman"/>
        </w:rPr>
        <w:t>http://www.gao.gov/new.items/d10648r.pdf</w:t>
      </w:r>
      <w:r w:rsidRPr="00E52611">
        <w:t>.</w:t>
      </w:r>
      <w:bookmarkEnd w:id="14"/>
    </w:p>
  </w:footnote>
  <w:footnote w:id="3">
    <w:p w:rsidR="002F2104" w:rsidRPr="00E52611" w:rsidRDefault="002F2104" w:rsidP="009A7A70">
      <w:pPr>
        <w:pStyle w:val="FootnoteText"/>
      </w:pPr>
      <w:r w:rsidRPr="00E52611">
        <w:rPr>
          <w:rStyle w:val="FootnoteReference"/>
        </w:rPr>
        <w:footnoteRef/>
      </w:r>
      <w:r w:rsidRPr="00E52611">
        <w:t xml:space="preserve"> Out of</w:t>
      </w:r>
      <w:r w:rsidR="00D83F34">
        <w:t xml:space="preserve"> $40.4 million granted to ACORN between 2005 and 2009,</w:t>
      </w:r>
      <w:r w:rsidRPr="00E52611">
        <w:t xml:space="preserve"> $33,750 went to voter registration efforts. </w:t>
      </w:r>
      <w:r w:rsidR="00172CD5" w:rsidRPr="00E52611">
        <w:rPr>
          <w:i/>
        </w:rPr>
        <w:t xml:space="preserve">See </w:t>
      </w:r>
      <w:r w:rsidR="00172CD5" w:rsidRPr="00E52611">
        <w:t>GAO Report at 8-13.</w:t>
      </w:r>
    </w:p>
  </w:footnote>
  <w:footnote w:id="4">
    <w:p w:rsidR="002F2104" w:rsidRPr="00E52611" w:rsidRDefault="002F2104">
      <w:pPr>
        <w:pStyle w:val="FootnoteText"/>
      </w:pPr>
      <w:r w:rsidRPr="00E52611">
        <w:rPr>
          <w:rStyle w:val="FootnoteReference"/>
        </w:rPr>
        <w:footnoteRef/>
      </w:r>
      <w:r w:rsidRPr="00E52611">
        <w:t xml:space="preserve"> Appendix A contains the full text of each challenged statutory provision. </w:t>
      </w:r>
    </w:p>
  </w:footnote>
  <w:footnote w:id="5">
    <w:p w:rsidR="002F2104" w:rsidRPr="00E52611" w:rsidRDefault="002F2104">
      <w:pPr>
        <w:pStyle w:val="FootnoteText"/>
      </w:pPr>
      <w:r w:rsidRPr="00E52611">
        <w:rPr>
          <w:rStyle w:val="FootnoteReference"/>
        </w:rPr>
        <w:footnoteRef/>
      </w:r>
      <w:r w:rsidRPr="00E52611">
        <w:t xml:space="preserve"> In the proceedings below, Defendants conceded that the </w:t>
      </w:r>
      <w:r w:rsidR="00DF0559" w:rsidRPr="00E52611">
        <w:fldChar w:fldCharType="begin"/>
      </w:r>
      <w:r w:rsidR="00E52611" w:rsidRPr="00E52611">
        <w:instrText xml:space="preserve"> ADDIN BA \xc &lt;@$osdv&gt; \xl 17 \s QOQUYW000074 </w:instrText>
      </w:r>
      <w:r w:rsidR="00DF0559" w:rsidRPr="00E52611">
        <w:fldChar w:fldCharType="end"/>
      </w:r>
      <w:r w:rsidRPr="00E52611">
        <w:t xml:space="preserve">Attainder Clauses protect corporations as well as individuals. </w:t>
      </w:r>
      <w:r w:rsidR="00DF0559" w:rsidRPr="00E52611">
        <w:fldChar w:fldCharType="begin"/>
      </w:r>
      <w:r w:rsidR="00E52611" w:rsidRPr="00E52611">
        <w:instrText xml:space="preserve"> ADDIN BA \xc &lt;@rec&gt; \xl 17 \s QOQUYW000078 \xpl 1 \l "(R. at 35, fn. 8)" </w:instrText>
      </w:r>
      <w:r w:rsidR="00DF0559" w:rsidRPr="00E52611">
        <w:fldChar w:fldCharType="end"/>
      </w:r>
      <w:bookmarkStart w:id="52" w:name="_BA_Cite_170"/>
      <w:r w:rsidRPr="00E52611">
        <w:t>(R. at 35, fn. 8)</w:t>
      </w:r>
      <w:bookmarkEnd w:id="52"/>
      <w:r w:rsidRPr="00E52611">
        <w:t xml:space="preserve">. But they “retained the right to challenge the applicability of the Bill of </w:t>
      </w:r>
      <w:r w:rsidR="00DF0559" w:rsidRPr="00E52611">
        <w:fldChar w:fldCharType="begin"/>
      </w:r>
      <w:r w:rsidR="00E52611" w:rsidRPr="00E52611">
        <w:instrText xml:space="preserve"> ADDIN BA \xc &lt;@osdv&gt; \xl 16 \s QOQUYW000079 \l "Attainder Clause" </w:instrText>
      </w:r>
      <w:r w:rsidR="00DF0559" w:rsidRPr="00E52611">
        <w:fldChar w:fldCharType="end"/>
      </w:r>
      <w:bookmarkStart w:id="53" w:name="_BA_Cite_171"/>
      <w:r w:rsidRPr="00E52611">
        <w:t>Attainder Clause</w:t>
      </w:r>
      <w:bookmarkEnd w:id="53"/>
      <w:r w:rsidRPr="00E52611">
        <w:t xml:space="preserve"> to corporations in any appellate proceedings in this case.” (</w:t>
      </w:r>
      <w:r w:rsidR="00DF0559" w:rsidRPr="00E52611">
        <w:fldChar w:fldCharType="begin"/>
      </w:r>
      <w:r w:rsidR="00E52611" w:rsidRPr="00E52611">
        <w:instrText xml:space="preserve"> ADDIN BA \xc &lt;@$id&gt; \xl 3 \s ID \xpl 1 </w:instrText>
      </w:r>
      <w:r w:rsidR="00DF0559" w:rsidRPr="00E52611">
        <w:fldChar w:fldCharType="end"/>
      </w:r>
      <w:r w:rsidRPr="00E52611">
        <w:rPr>
          <w:i/>
        </w:rPr>
        <w:t>Id.</w:t>
      </w:r>
      <w:r w:rsidRPr="00E52611">
        <w:t>).</w:t>
      </w:r>
    </w:p>
  </w:footnote>
  <w:footnote w:id="6">
    <w:p w:rsidR="002F2104" w:rsidRPr="00E52611" w:rsidRDefault="002F2104">
      <w:pPr>
        <w:pStyle w:val="FootnoteText"/>
      </w:pPr>
      <w:r w:rsidRPr="00E52611">
        <w:rPr>
          <w:rStyle w:val="FootnoteReference"/>
        </w:rPr>
        <w:footnoteRef/>
      </w:r>
      <w:r w:rsidRPr="00E52611">
        <w:t xml:space="preserve"> John Atlas, Seeds of Change: The Story of ACORN, America’s Most Controversial Antipoverty Community Organizing Group 244 (Jun. 28, 2010).</w:t>
      </w:r>
    </w:p>
  </w:footnote>
  <w:footnote w:id="7">
    <w:p w:rsidR="002F2104" w:rsidRPr="00E52611" w:rsidRDefault="002F2104">
      <w:pPr>
        <w:pStyle w:val="FootnoteText"/>
      </w:pPr>
      <w:r w:rsidRPr="00E52611">
        <w:rPr>
          <w:rStyle w:val="FootnoteReference"/>
        </w:rPr>
        <w:footnoteRef/>
      </w:r>
      <w:r w:rsidRPr="00E52611">
        <w:t xml:space="preserve"> See </w:t>
      </w:r>
      <w:r w:rsidRPr="00E52611">
        <w:rPr>
          <w:i/>
        </w:rPr>
        <w:t xml:space="preserve">supra </w:t>
      </w:r>
      <w:r w:rsidR="00DF0559" w:rsidRPr="00E52611">
        <w:fldChar w:fldCharType="begin"/>
      </w:r>
      <w:r w:rsidR="00E52611" w:rsidRPr="00E52611">
        <w:instrText xml:space="preserve"> ADDIN BA \xc &lt;@osdv&gt; \xl 16 \s QOQUYW000088 \l "Section II(A)(1)" </w:instrText>
      </w:r>
      <w:r w:rsidR="00DF0559" w:rsidRPr="00E52611">
        <w:fldChar w:fldCharType="end"/>
      </w:r>
      <w:bookmarkStart w:id="98" w:name="_BA_Cite_210"/>
      <w:r w:rsidRPr="00E52611">
        <w:t>Section II(A)(1)</w:t>
      </w:r>
      <w:bookmarkEnd w:id="98"/>
      <w:r w:rsidRPr="00E52611">
        <w:t xml:space="preserve">. </w:t>
      </w:r>
    </w:p>
  </w:footnote>
  <w:footnote w:id="8">
    <w:p w:rsidR="002F2104" w:rsidRPr="00E52611" w:rsidRDefault="002F2104">
      <w:pPr>
        <w:pStyle w:val="FootnoteText"/>
      </w:pPr>
      <w:r w:rsidRPr="00E52611">
        <w:rPr>
          <w:rStyle w:val="FootnoteReference"/>
        </w:rPr>
        <w:footnoteRef/>
      </w:r>
      <w:r w:rsidRPr="00E52611">
        <w:t xml:space="preserve"> Although corporations cannot “hold a job” as a person can, when a statute amounts to a bar on a corporation’s key activities, this can amount to a prohibition on the corporation’s employment. For example, in </w:t>
      </w:r>
      <w:r w:rsidR="00DF0559" w:rsidRPr="00E52611">
        <w:fldChar w:fldCharType="begin"/>
      </w:r>
      <w:r w:rsidR="00E52611" w:rsidRPr="00E52611">
        <w:instrText xml:space="preserve"> ADDIN BA \xc &lt;@$cs&gt; \xl 9 \s QOQUYW000048 </w:instrText>
      </w:r>
      <w:r w:rsidR="00DF0559" w:rsidRPr="00E52611">
        <w:fldChar w:fldCharType="end"/>
      </w:r>
      <w:bookmarkStart w:id="103" w:name="_BA_Cite_215"/>
      <w:r w:rsidRPr="00E52611">
        <w:rPr>
          <w:i/>
        </w:rPr>
        <w:t>BellSouth</w:t>
      </w:r>
      <w:bookmarkEnd w:id="103"/>
      <w:r w:rsidRPr="00E52611">
        <w:rPr>
          <w:i/>
        </w:rPr>
        <w:t xml:space="preserve"> </w:t>
      </w:r>
      <w:r w:rsidRPr="00E52611">
        <w:t xml:space="preserve">and </w:t>
      </w:r>
      <w:r w:rsidR="00DF0559" w:rsidRPr="00E52611">
        <w:fldChar w:fldCharType="begin"/>
      </w:r>
      <w:r w:rsidR="00E52611" w:rsidRPr="00E52611">
        <w:instrText xml:space="preserve"> ADDIN BA \xc &lt;@$cs&gt; \xl 3 \s QOQUYW000023 </w:instrText>
      </w:r>
      <w:r w:rsidR="00DF0559" w:rsidRPr="00E52611">
        <w:fldChar w:fldCharType="end"/>
      </w:r>
      <w:r w:rsidRPr="00E52611">
        <w:rPr>
          <w:i/>
        </w:rPr>
        <w:t>SBC</w:t>
      </w:r>
      <w:r w:rsidRPr="00E52611">
        <w:t xml:space="preserve">, circuit courts considered whether bills proscribing corporate plaintiffs from certain telecommunication equipment markets constituted restrictions on employment. </w:t>
      </w:r>
      <w:r w:rsidR="00DF0559" w:rsidRPr="00E52611">
        <w:fldChar w:fldCharType="begin"/>
      </w:r>
      <w:r w:rsidR="00E52611" w:rsidRPr="00E52611">
        <w:instrText xml:space="preserve"> ADDIN BA \xc &lt;@cs&gt; \xl 61 \s QOQUYW000048 \xhfl Rep \l "</w:instrText>
      </w:r>
      <w:r w:rsidR="00E52611" w:rsidRPr="00E52611">
        <w:rPr>
          <w:i/>
        </w:rPr>
        <w:instrText>BellSouth Corp. v. FCC</w:instrText>
      </w:r>
      <w:r w:rsidR="00E52611" w:rsidRPr="00E52611">
        <w:instrText xml:space="preserve">,&lt;SoftRt&gt; 162 F.3d 678 (D.C. Cir. 1998)" </w:instrText>
      </w:r>
      <w:r w:rsidR="00DF0559" w:rsidRPr="00E52611">
        <w:fldChar w:fldCharType="end"/>
      </w:r>
      <w:bookmarkStart w:id="104" w:name="_BA_Cite_216"/>
      <w:r w:rsidRPr="00E52611">
        <w:rPr>
          <w:i/>
        </w:rPr>
        <w:t>BellSouth Corp. v. FCC</w:t>
      </w:r>
      <w:r w:rsidRPr="00E52611">
        <w:t>, 162 F.3d 678, 685-86 (D.C. Cir. 1998)</w:t>
      </w:r>
      <w:bookmarkEnd w:id="104"/>
      <w:r w:rsidRPr="00E52611">
        <w:t xml:space="preserve">; </w:t>
      </w:r>
      <w:r w:rsidR="00DF0559" w:rsidRPr="00E52611">
        <w:fldChar w:fldCharType="begin"/>
      </w:r>
      <w:r w:rsidR="00E52611" w:rsidRPr="00E52611">
        <w:instrText xml:space="preserve"> ADDIN BA \xc &lt;@$cs&gt; \xl 30 \s QOQUYW000023 \xhfl Rep </w:instrText>
      </w:r>
      <w:r w:rsidR="00DF0559" w:rsidRPr="00E52611">
        <w:fldChar w:fldCharType="end"/>
      </w:r>
      <w:r w:rsidRPr="00E52611">
        <w:rPr>
          <w:i/>
        </w:rPr>
        <w:t>SBC</w:t>
      </w:r>
      <w:r w:rsidRPr="00E52611">
        <w:t xml:space="preserve">, 154 F.3d at 233-34, 37-43. </w:t>
      </w:r>
      <w:r w:rsidRPr="00E52611">
        <w:rPr>
          <w:i/>
        </w:rPr>
        <w:t xml:space="preserve">Accord </w:t>
      </w:r>
      <w:r w:rsidR="00DF0559" w:rsidRPr="00E52611">
        <w:fldChar w:fldCharType="begin"/>
      </w:r>
      <w:r w:rsidR="00E52611" w:rsidRPr="00E52611">
        <w:instrText xml:space="preserve"> ADDIN BA \xc &lt;@$cs&gt; \xl 25 \s QOQUYW000026 \xhfl Rep </w:instrText>
      </w:r>
      <w:r w:rsidR="00DF0559" w:rsidRPr="00E52611">
        <w:fldChar w:fldCharType="end"/>
      </w:r>
      <w:bookmarkStart w:id="105" w:name="_BA_Cite_217"/>
      <w:r w:rsidRPr="00E52611">
        <w:rPr>
          <w:i/>
        </w:rPr>
        <w:t>Bellotti</w:t>
      </w:r>
      <w:r w:rsidRPr="00E52611">
        <w:t>, 435 U.S. at 783</w:t>
      </w:r>
      <w:bookmarkEnd w:id="105"/>
      <w:r w:rsidRPr="00E52611">
        <w:t xml:space="preserve"> (“Corporations and other associations, like individuals, contribute to the discussion, debate, and the dissemination of information and ideas”) (internal quotations omitted). </w:t>
      </w:r>
    </w:p>
    <w:p w:rsidR="002F2104" w:rsidRPr="00E52611" w:rsidRDefault="002F2104">
      <w:pPr>
        <w:pStyle w:val="FootnoteText"/>
      </w:pPr>
    </w:p>
  </w:footnote>
  <w:footnote w:id="9">
    <w:p w:rsidR="002F2104" w:rsidRPr="00E52611" w:rsidRDefault="002F2104" w:rsidP="009A01F4">
      <w:pPr>
        <w:pStyle w:val="FootnoteText"/>
      </w:pPr>
      <w:r w:rsidRPr="00E52611">
        <w:rPr>
          <w:rStyle w:val="FootnoteReference"/>
        </w:rPr>
        <w:footnoteRef/>
      </w:r>
      <w:r w:rsidRPr="00E52611">
        <w:t xml:space="preserve"> The Report details sixteen federal grants to ACORN and its affiliates b</w:t>
      </w:r>
      <w:r w:rsidR="003679B9">
        <w:t xml:space="preserve">etween fiscal years 2005 and </w:t>
      </w:r>
      <w:r w:rsidRPr="00E52611">
        <w:t xml:space="preserve">2009, amounting to $40.4 million. </w:t>
      </w:r>
    </w:p>
  </w:footnote>
  <w:footnote w:id="10">
    <w:p w:rsidR="002F2104" w:rsidRPr="00E52611" w:rsidRDefault="002F2104" w:rsidP="002144E4">
      <w:pPr>
        <w:pStyle w:val="FootnoteText"/>
      </w:pPr>
      <w:r w:rsidRPr="00E52611">
        <w:rPr>
          <w:rStyle w:val="FootnoteReference"/>
        </w:rPr>
        <w:footnoteRef/>
      </w:r>
      <w:r w:rsidRPr="00E52611">
        <w:t xml:space="preserve"> The district court noted that this situation “would raise difficulties akin to those controversies the Supreme Court has found ‘capable of repetition yet evading review’ in the mootness context.” </w:t>
      </w:r>
      <w:r w:rsidR="00DF0559" w:rsidRPr="00E52611">
        <w:fldChar w:fldCharType="begin"/>
      </w:r>
      <w:r w:rsidR="00E52611" w:rsidRPr="00E52611">
        <w:instrText xml:space="preserve"> ADDIN BA \xc &lt;@$rec&gt; \xl 10 \s QOQUYW000091 \xpl 1 </w:instrText>
      </w:r>
      <w:r w:rsidR="00DF0559" w:rsidRPr="00E52611">
        <w:fldChar w:fldCharType="end"/>
      </w:r>
      <w:bookmarkStart w:id="122" w:name="_BA_Cite_234"/>
      <w:r w:rsidRPr="00E52611">
        <w:t>(R. at 39)</w:t>
      </w:r>
      <w:bookmarkEnd w:id="122"/>
      <w:r w:rsidRPr="00E52611">
        <w:t xml:space="preserve"> (citing </w:t>
      </w:r>
      <w:r w:rsidR="00DF0559" w:rsidRPr="00E52611">
        <w:fldChar w:fldCharType="begin"/>
      </w:r>
      <w:r w:rsidR="00E52611" w:rsidRPr="00E52611">
        <w:instrText xml:space="preserve"> ADDIN BA \xc &lt;@cs&gt; \xl 55 \s QOQUYW000052 \xhfl Rep \xqt \xpl 1 \l "</w:instrText>
      </w:r>
      <w:r w:rsidR="00E52611" w:rsidRPr="00E52611">
        <w:rPr>
          <w:i/>
        </w:rPr>
        <w:instrText>Davis v. Fed. Election Comm’n</w:instrText>
      </w:r>
      <w:r w:rsidR="00E52611" w:rsidRPr="00E52611">
        <w:instrText xml:space="preserve">,&lt;SoftRt&gt; </w:instrText>
      </w:r>
      <w:r w:rsidR="00E52611" w:rsidRPr="00E52611">
        <w:rPr>
          <w:bCs/>
        </w:rPr>
        <w:instrText>554 U.S. 724</w:instrText>
      </w:r>
      <w:r w:rsidR="00E52611" w:rsidRPr="00E52611">
        <w:instrText xml:space="preserve"> (2008)" </w:instrText>
      </w:r>
      <w:r w:rsidR="00DF0559" w:rsidRPr="00E52611">
        <w:fldChar w:fldCharType="end"/>
      </w:r>
      <w:r w:rsidRPr="00E52611">
        <w:rPr>
          <w:i/>
        </w:rPr>
        <w:t>Davis v. Fed. Election Comm’n</w:t>
      </w:r>
      <w:r w:rsidRPr="00E52611">
        <w:t xml:space="preserve">, </w:t>
      </w:r>
      <w:r w:rsidRPr="00E52611">
        <w:rPr>
          <w:bCs/>
        </w:rPr>
        <w:t xml:space="preserve">554 U.S. 724, </w:t>
      </w:r>
      <w:r w:rsidRPr="00E52611">
        <w:t>735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353E6"/>
    <w:multiLevelType w:val="multilevel"/>
    <w:tmpl w:val="DF44C784"/>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0BA8529B"/>
    <w:multiLevelType w:val="multilevel"/>
    <w:tmpl w:val="5A98D28A"/>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55811D8"/>
    <w:multiLevelType w:val="multilevel"/>
    <w:tmpl w:val="53427310"/>
    <w:lvl w:ilvl="0">
      <w:start w:val="1"/>
      <w:numFmt w:val="decimal"/>
      <w:lvlText w:val="%1."/>
      <w:lvlJc w:val="left"/>
      <w:pPr>
        <w:ind w:left="2520" w:hanging="360"/>
      </w:pPr>
      <w:rPr>
        <w:rFonts w:hint="default"/>
        <w:i w:val="0"/>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nsid w:val="169C1513"/>
    <w:multiLevelType w:val="hybridMultilevel"/>
    <w:tmpl w:val="E12E5DC0"/>
    <w:lvl w:ilvl="0" w:tplc="5D281F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059D3"/>
    <w:multiLevelType w:val="hybridMultilevel"/>
    <w:tmpl w:val="53427310"/>
    <w:lvl w:ilvl="0" w:tplc="A024F04C">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B9D091B"/>
    <w:multiLevelType w:val="hybridMultilevel"/>
    <w:tmpl w:val="DF44C784"/>
    <w:lvl w:ilvl="0" w:tplc="EF5EA6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E61170"/>
    <w:multiLevelType w:val="hybridMultilevel"/>
    <w:tmpl w:val="55529AC4"/>
    <w:lvl w:ilvl="0" w:tplc="CD666F14">
      <w:start w:val="1"/>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740713D"/>
    <w:multiLevelType w:val="multilevel"/>
    <w:tmpl w:val="AC105F2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25031B6"/>
    <w:multiLevelType w:val="hybridMultilevel"/>
    <w:tmpl w:val="AC105F28"/>
    <w:lvl w:ilvl="0" w:tplc="5D281F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B2B59"/>
    <w:multiLevelType w:val="hybridMultilevel"/>
    <w:tmpl w:val="61E4FFA2"/>
    <w:lvl w:ilvl="0" w:tplc="A024F04C">
      <w:start w:val="1"/>
      <w:numFmt w:val="decimal"/>
      <w:lvlText w:val="%1."/>
      <w:lvlJc w:val="left"/>
      <w:pPr>
        <w:ind w:left="25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67713F"/>
    <w:multiLevelType w:val="multilevel"/>
    <w:tmpl w:val="44560EA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4C834F8"/>
    <w:multiLevelType w:val="hybridMultilevel"/>
    <w:tmpl w:val="9918DD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F70EA4"/>
    <w:multiLevelType w:val="hybridMultilevel"/>
    <w:tmpl w:val="C8A4CE54"/>
    <w:lvl w:ilvl="0" w:tplc="7C621EA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C753F7"/>
    <w:multiLevelType w:val="hybridMultilevel"/>
    <w:tmpl w:val="9B6E2FD4"/>
    <w:lvl w:ilvl="0" w:tplc="D8C6AF4C">
      <w:start w:val="1"/>
      <w:numFmt w:val="lowerLetter"/>
      <w:lvlText w:val="%1."/>
      <w:lvlJc w:val="left"/>
      <w:pPr>
        <w:ind w:left="2880" w:hanging="72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6C9E34D9"/>
    <w:multiLevelType w:val="hybridMultilevel"/>
    <w:tmpl w:val="60F28BE6"/>
    <w:lvl w:ilvl="0" w:tplc="EF5EA65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871DF6"/>
    <w:multiLevelType w:val="hybridMultilevel"/>
    <w:tmpl w:val="44560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617F01"/>
    <w:multiLevelType w:val="multilevel"/>
    <w:tmpl w:val="AC105F2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DCF3D33"/>
    <w:multiLevelType w:val="hybridMultilevel"/>
    <w:tmpl w:val="5A98D28A"/>
    <w:lvl w:ilvl="0" w:tplc="7C621E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5"/>
  </w:num>
  <w:num w:numId="3">
    <w:abstractNumId w:val="17"/>
  </w:num>
  <w:num w:numId="4">
    <w:abstractNumId w:val="5"/>
  </w:num>
  <w:num w:numId="5">
    <w:abstractNumId w:val="13"/>
  </w:num>
  <w:num w:numId="6">
    <w:abstractNumId w:val="4"/>
  </w:num>
  <w:num w:numId="7">
    <w:abstractNumId w:val="6"/>
  </w:num>
  <w:num w:numId="8">
    <w:abstractNumId w:val="16"/>
  </w:num>
  <w:num w:numId="9">
    <w:abstractNumId w:val="3"/>
  </w:num>
  <w:num w:numId="10">
    <w:abstractNumId w:val="10"/>
  </w:num>
  <w:num w:numId="11">
    <w:abstractNumId w:val="11"/>
  </w:num>
  <w:num w:numId="12">
    <w:abstractNumId w:val="7"/>
  </w:num>
  <w:num w:numId="13">
    <w:abstractNumId w:val="1"/>
  </w:num>
  <w:num w:numId="14">
    <w:abstractNumId w:val="12"/>
  </w:num>
  <w:num w:numId="15">
    <w:abstractNumId w:val="0"/>
  </w:num>
  <w:num w:numId="16">
    <w:abstractNumId w:val="14"/>
  </w:num>
  <w:num w:numId="17">
    <w:abstractNumId w:val="2"/>
  </w:num>
  <w:num w:numId="18">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1004"/>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docVars>
    <w:docVar w:name="_BA_DictionariesAutoLoaded_" w:val="True"/>
    <w:docVar w:name="_BA_DictionaryFile_AutoLoadEveryone" w:val="C:\Documents and Settings\danielleserbin\Application Data\Levit &amp; James, Inc\Best Authority\Shared\Dictionaries\AutoLoadEveryone.baod"/>
    <w:docVar w:name="_BA_DictionaryFile_AutoLoadPersonal" w:val="C:\Documents and Settings\danielleserbin\Application Data\Levit &amp; James, Inc\Best Authority\Private\Dictionaries\AutoLoadPersonal.baod"/>
    <w:docVar w:name="_BA_Hash" w:val="QOQUYW"/>
    <w:docVar w:name="_BA_History_" w:val="|02/14/2012 04:45 PM;Set Scheme: Sample Common;danielleserbin|02/14/2012 04:46 PM;Scan;danielleserbin|02/14/2012 04:46 PM;Build Fully-Formatted TOAs;danielleserbin"/>
    <w:docVar w:name="_BA_LastTab_Right" w:val="0"/>
    <w:docVar w:name="_BA_ReformatLongs" w:val="Current"/>
    <w:docVar w:name="_BA_ScanOptions" w:val="0|1||2|False|False|False|False|False|True|True|False|False|0|(None)|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PlainText=False@]_x000D__x000A__x000D__x000A_[@RemoveComma=False@]_x000D__x000A__x000D__x000A_[@ReturnType=1@]_x000D__x000A__x000D__x000A_[@SplitTOAIndent=1@]_x000D__x000A__x000D__x000A_[@SuppressMentions=False@]_x000D__x000A__x000D__x000A_[@SuppressQuotedCites=True@]_x000D__x000A__x000D__x000A_[@SuppressShorts=False@]_x000D__x000A__x000D__x000A_[@TitleStyle=BA TOA Title@]_x000D__x000A__x000D__x000A_[@TitleText=Table of Authorities@]_x000D__x000A__x000D__x000A_[@UseCS1=False@]_x000D__x000A__x000D__x000A_[@UseHyperlinks=True@]_x000D__x000A__x000D__x000A_[@FootEndnotePattern=@]_x000D__x000A__x000D__x000A_[@[Sorting]@]_x000D__x000A__x000D__x000A_[@IgnoreExParteForCases=False@]_x000D__x000A__x000D__x000A_[@IgnoreExRelForCases=False@]_x000D__x000A__x000D__x000A_[@IgnoreInReForCases=False@]_x000D__x000A__x000D__x000A_[@SortNumerically=True@]_x000D__x000A__x000D__x000A_[@IgnorePublicPartyForCases=False@]_x000D__x000A__x000D__x000A_[@[File]@]_x000D__x000A__x000D__x000A_[@Version=2.0.24@]_x000D__x000A__x000D__x000A_[@Scope=0@]_x000D__x000A__x000D__x000A_[@Description=Cases, Statutes, Other Authorities included&lt;ret&gt;Mentions NOT suppressed&lt;ret&gt;Quoted citations suppressed, no substitutions, hyperlinks turned on.&lt;ret&gt;@]_x000D__x000A__x000D__x000A_[@Name=Sample Common@]_x000D__x000A__x000D__x000A_[@[FileControl]@]_x000D__x000A__x000D__x000A_[@FileType=Best Authority Scheme File@]_x000D__x000A__x000D__x000A_[@FileVersion=01.02.0000@]_x000D__x000A__x000D__x000A_[@MinAppVersion=01.00.0090@]_x000D__x000A__x000D__x000A_[@[XTOAs]@]_x000D__x000A__x000D__x000A_[@1=Cases.False.0.@]_x000D__x000A__x000D__x000A_[@2=Statutes.False.0.@]_x000D__x000A__x000D__x000A_[@3=Other Authorities.False.0.@]_x000D__x000A__x000D__x000A_[@4=Suspects.False.0.@]_x000D__x000A__x000D__x000A_[@5=Non-TOA References.False.0.@]_x000D__x000A__x000D__x000A_[@[Cases.False.0.]@]_x000D__x000A__x000D__x000A_[@HitClasses=&lt;@cs&gt;|&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sc&gt;|&lt;@nper&gt;|&lt;@pat&gt;|&lt;@per&gt;|&lt;@reg&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TOAGroupsOptions_FullFormat" w:val="&lt;&lt;None&gt;&gt;"/>
    <w:docVar w:name="_BA_WizardTabs" w:val="4|5|0;True;Startup|1;True;Scan|2;False;Draft Review|3;False;Full-Page Review|4;True;Build||Startup|Startup@Scan|Startup@Scan|Startup@Scan"/>
    <w:docVar w:name="_CITRUS_JURISDICTION" w:val="Bluebook"/>
  </w:docVars>
  <w:rsids>
    <w:rsidRoot w:val="00F85366"/>
    <w:rsid w:val="0000005E"/>
    <w:rsid w:val="00000CD4"/>
    <w:rsid w:val="000019CF"/>
    <w:rsid w:val="00003AAC"/>
    <w:rsid w:val="00003DA2"/>
    <w:rsid w:val="00003EA2"/>
    <w:rsid w:val="00003F99"/>
    <w:rsid w:val="00004F04"/>
    <w:rsid w:val="0000587B"/>
    <w:rsid w:val="000064AE"/>
    <w:rsid w:val="00006744"/>
    <w:rsid w:val="00010336"/>
    <w:rsid w:val="00010D15"/>
    <w:rsid w:val="00010F10"/>
    <w:rsid w:val="000114F7"/>
    <w:rsid w:val="0001160D"/>
    <w:rsid w:val="00011E5E"/>
    <w:rsid w:val="00012986"/>
    <w:rsid w:val="00012C04"/>
    <w:rsid w:val="000133B0"/>
    <w:rsid w:val="000137BF"/>
    <w:rsid w:val="00013B22"/>
    <w:rsid w:val="00014B05"/>
    <w:rsid w:val="00015028"/>
    <w:rsid w:val="0001637D"/>
    <w:rsid w:val="00016A5E"/>
    <w:rsid w:val="00016F23"/>
    <w:rsid w:val="000207B0"/>
    <w:rsid w:val="0002253D"/>
    <w:rsid w:val="00022BDC"/>
    <w:rsid w:val="000240AE"/>
    <w:rsid w:val="000243EC"/>
    <w:rsid w:val="0002502E"/>
    <w:rsid w:val="00025A53"/>
    <w:rsid w:val="00031926"/>
    <w:rsid w:val="000323B7"/>
    <w:rsid w:val="00032516"/>
    <w:rsid w:val="00032D8A"/>
    <w:rsid w:val="0003385C"/>
    <w:rsid w:val="00033C03"/>
    <w:rsid w:val="00033F9C"/>
    <w:rsid w:val="00034994"/>
    <w:rsid w:val="00036EAC"/>
    <w:rsid w:val="00037E6D"/>
    <w:rsid w:val="00040D73"/>
    <w:rsid w:val="0004159A"/>
    <w:rsid w:val="000416AF"/>
    <w:rsid w:val="00041CAB"/>
    <w:rsid w:val="00042F95"/>
    <w:rsid w:val="00044096"/>
    <w:rsid w:val="00044CB8"/>
    <w:rsid w:val="00045099"/>
    <w:rsid w:val="00045497"/>
    <w:rsid w:val="00045730"/>
    <w:rsid w:val="00045E99"/>
    <w:rsid w:val="00047395"/>
    <w:rsid w:val="0005003E"/>
    <w:rsid w:val="00050AC9"/>
    <w:rsid w:val="00051E4E"/>
    <w:rsid w:val="00052223"/>
    <w:rsid w:val="00052732"/>
    <w:rsid w:val="00052980"/>
    <w:rsid w:val="000529A4"/>
    <w:rsid w:val="00054330"/>
    <w:rsid w:val="0005490F"/>
    <w:rsid w:val="00055C10"/>
    <w:rsid w:val="00056230"/>
    <w:rsid w:val="00056D9E"/>
    <w:rsid w:val="00057FB0"/>
    <w:rsid w:val="00060086"/>
    <w:rsid w:val="000605D2"/>
    <w:rsid w:val="00060C7A"/>
    <w:rsid w:val="00061A8F"/>
    <w:rsid w:val="0006343C"/>
    <w:rsid w:val="0006395D"/>
    <w:rsid w:val="00063A45"/>
    <w:rsid w:val="00065896"/>
    <w:rsid w:val="0006596C"/>
    <w:rsid w:val="00065C5B"/>
    <w:rsid w:val="00065DA6"/>
    <w:rsid w:val="00066482"/>
    <w:rsid w:val="00070FFA"/>
    <w:rsid w:val="000726EA"/>
    <w:rsid w:val="0007351F"/>
    <w:rsid w:val="00073654"/>
    <w:rsid w:val="00074378"/>
    <w:rsid w:val="0007463F"/>
    <w:rsid w:val="000746F5"/>
    <w:rsid w:val="0007495F"/>
    <w:rsid w:val="00074B90"/>
    <w:rsid w:val="00074EED"/>
    <w:rsid w:val="00075E96"/>
    <w:rsid w:val="00076050"/>
    <w:rsid w:val="00077C47"/>
    <w:rsid w:val="0008237E"/>
    <w:rsid w:val="00082E7A"/>
    <w:rsid w:val="00086661"/>
    <w:rsid w:val="00087079"/>
    <w:rsid w:val="0008767A"/>
    <w:rsid w:val="00087781"/>
    <w:rsid w:val="00087D49"/>
    <w:rsid w:val="00087F9A"/>
    <w:rsid w:val="00090097"/>
    <w:rsid w:val="000900F1"/>
    <w:rsid w:val="00090BCF"/>
    <w:rsid w:val="00092A25"/>
    <w:rsid w:val="00093414"/>
    <w:rsid w:val="00093BF2"/>
    <w:rsid w:val="00093F45"/>
    <w:rsid w:val="00094891"/>
    <w:rsid w:val="000A15F6"/>
    <w:rsid w:val="000A1BB3"/>
    <w:rsid w:val="000A3080"/>
    <w:rsid w:val="000A311C"/>
    <w:rsid w:val="000A4145"/>
    <w:rsid w:val="000A558A"/>
    <w:rsid w:val="000A619A"/>
    <w:rsid w:val="000A6502"/>
    <w:rsid w:val="000A6B24"/>
    <w:rsid w:val="000A7410"/>
    <w:rsid w:val="000B0B72"/>
    <w:rsid w:val="000B1385"/>
    <w:rsid w:val="000B15FE"/>
    <w:rsid w:val="000B1E9A"/>
    <w:rsid w:val="000B282C"/>
    <w:rsid w:val="000B3258"/>
    <w:rsid w:val="000B4266"/>
    <w:rsid w:val="000B47FF"/>
    <w:rsid w:val="000B4EBA"/>
    <w:rsid w:val="000B5D06"/>
    <w:rsid w:val="000B64D5"/>
    <w:rsid w:val="000B679A"/>
    <w:rsid w:val="000B6A89"/>
    <w:rsid w:val="000B6D6D"/>
    <w:rsid w:val="000B6F23"/>
    <w:rsid w:val="000B7849"/>
    <w:rsid w:val="000C24BE"/>
    <w:rsid w:val="000C63F4"/>
    <w:rsid w:val="000C643D"/>
    <w:rsid w:val="000C6C1A"/>
    <w:rsid w:val="000C757E"/>
    <w:rsid w:val="000C7F8A"/>
    <w:rsid w:val="000D10F7"/>
    <w:rsid w:val="000D12BC"/>
    <w:rsid w:val="000D1663"/>
    <w:rsid w:val="000D361C"/>
    <w:rsid w:val="000D37B2"/>
    <w:rsid w:val="000D3CE5"/>
    <w:rsid w:val="000D4FF6"/>
    <w:rsid w:val="000D6CA7"/>
    <w:rsid w:val="000E0232"/>
    <w:rsid w:val="000E0C45"/>
    <w:rsid w:val="000E1237"/>
    <w:rsid w:val="000E1A0C"/>
    <w:rsid w:val="000E554A"/>
    <w:rsid w:val="000E59EA"/>
    <w:rsid w:val="000E6012"/>
    <w:rsid w:val="000F023D"/>
    <w:rsid w:val="000F043B"/>
    <w:rsid w:val="000F3A57"/>
    <w:rsid w:val="000F4EBC"/>
    <w:rsid w:val="000F5585"/>
    <w:rsid w:val="000F7194"/>
    <w:rsid w:val="000F723C"/>
    <w:rsid w:val="001002C8"/>
    <w:rsid w:val="001005BA"/>
    <w:rsid w:val="001008F9"/>
    <w:rsid w:val="00100BBE"/>
    <w:rsid w:val="001041EB"/>
    <w:rsid w:val="00104683"/>
    <w:rsid w:val="00104792"/>
    <w:rsid w:val="001060BC"/>
    <w:rsid w:val="0010684D"/>
    <w:rsid w:val="00107E98"/>
    <w:rsid w:val="00107F1C"/>
    <w:rsid w:val="0011088F"/>
    <w:rsid w:val="00110B3B"/>
    <w:rsid w:val="0011161D"/>
    <w:rsid w:val="00111E08"/>
    <w:rsid w:val="00113CBC"/>
    <w:rsid w:val="00114E87"/>
    <w:rsid w:val="00115E2A"/>
    <w:rsid w:val="001161D8"/>
    <w:rsid w:val="00116A7D"/>
    <w:rsid w:val="00120AFA"/>
    <w:rsid w:val="00120BAF"/>
    <w:rsid w:val="00124A6A"/>
    <w:rsid w:val="00125A8C"/>
    <w:rsid w:val="00126C42"/>
    <w:rsid w:val="00130A00"/>
    <w:rsid w:val="0013125A"/>
    <w:rsid w:val="00131569"/>
    <w:rsid w:val="00131691"/>
    <w:rsid w:val="00131F32"/>
    <w:rsid w:val="00132E51"/>
    <w:rsid w:val="00132F13"/>
    <w:rsid w:val="00133390"/>
    <w:rsid w:val="001354F0"/>
    <w:rsid w:val="00135684"/>
    <w:rsid w:val="0013570D"/>
    <w:rsid w:val="00135E49"/>
    <w:rsid w:val="0013730C"/>
    <w:rsid w:val="00137442"/>
    <w:rsid w:val="00137560"/>
    <w:rsid w:val="0014009F"/>
    <w:rsid w:val="00140144"/>
    <w:rsid w:val="0014088C"/>
    <w:rsid w:val="00142384"/>
    <w:rsid w:val="001427A1"/>
    <w:rsid w:val="001430DE"/>
    <w:rsid w:val="00143226"/>
    <w:rsid w:val="001444F6"/>
    <w:rsid w:val="001446DC"/>
    <w:rsid w:val="001447D8"/>
    <w:rsid w:val="00144BC0"/>
    <w:rsid w:val="001457FE"/>
    <w:rsid w:val="0014597A"/>
    <w:rsid w:val="001463D3"/>
    <w:rsid w:val="001467B9"/>
    <w:rsid w:val="001467BB"/>
    <w:rsid w:val="00146EF4"/>
    <w:rsid w:val="00147274"/>
    <w:rsid w:val="0014767D"/>
    <w:rsid w:val="001508FD"/>
    <w:rsid w:val="00150B97"/>
    <w:rsid w:val="0015223D"/>
    <w:rsid w:val="0015259D"/>
    <w:rsid w:val="00152A05"/>
    <w:rsid w:val="001535B5"/>
    <w:rsid w:val="00154036"/>
    <w:rsid w:val="00154460"/>
    <w:rsid w:val="00154B35"/>
    <w:rsid w:val="0015565E"/>
    <w:rsid w:val="00157112"/>
    <w:rsid w:val="00157EFF"/>
    <w:rsid w:val="00161D79"/>
    <w:rsid w:val="00161D8C"/>
    <w:rsid w:val="00162260"/>
    <w:rsid w:val="00163D62"/>
    <w:rsid w:val="00164C9C"/>
    <w:rsid w:val="00165D49"/>
    <w:rsid w:val="00165FE4"/>
    <w:rsid w:val="001660ED"/>
    <w:rsid w:val="0016610D"/>
    <w:rsid w:val="00167065"/>
    <w:rsid w:val="0016749C"/>
    <w:rsid w:val="00167659"/>
    <w:rsid w:val="00167CFF"/>
    <w:rsid w:val="00170933"/>
    <w:rsid w:val="001720FB"/>
    <w:rsid w:val="001724CA"/>
    <w:rsid w:val="001725A2"/>
    <w:rsid w:val="00172AC5"/>
    <w:rsid w:val="00172B9B"/>
    <w:rsid w:val="00172CD5"/>
    <w:rsid w:val="00173EA0"/>
    <w:rsid w:val="00174239"/>
    <w:rsid w:val="001747B9"/>
    <w:rsid w:val="00175D69"/>
    <w:rsid w:val="0018113D"/>
    <w:rsid w:val="00181240"/>
    <w:rsid w:val="00182970"/>
    <w:rsid w:val="00183337"/>
    <w:rsid w:val="001834C8"/>
    <w:rsid w:val="001850BB"/>
    <w:rsid w:val="00185508"/>
    <w:rsid w:val="001861D2"/>
    <w:rsid w:val="0018648A"/>
    <w:rsid w:val="001871E4"/>
    <w:rsid w:val="00187994"/>
    <w:rsid w:val="00187B56"/>
    <w:rsid w:val="00190434"/>
    <w:rsid w:val="00190545"/>
    <w:rsid w:val="0019069D"/>
    <w:rsid w:val="00190796"/>
    <w:rsid w:val="0019080B"/>
    <w:rsid w:val="00190D8E"/>
    <w:rsid w:val="00190E73"/>
    <w:rsid w:val="00190F91"/>
    <w:rsid w:val="00191DFA"/>
    <w:rsid w:val="00192C44"/>
    <w:rsid w:val="00193071"/>
    <w:rsid w:val="001931AB"/>
    <w:rsid w:val="00193754"/>
    <w:rsid w:val="0019380B"/>
    <w:rsid w:val="0019536A"/>
    <w:rsid w:val="00196F2B"/>
    <w:rsid w:val="001A1114"/>
    <w:rsid w:val="001A151B"/>
    <w:rsid w:val="001A412B"/>
    <w:rsid w:val="001A478A"/>
    <w:rsid w:val="001A59D8"/>
    <w:rsid w:val="001A5F4F"/>
    <w:rsid w:val="001A60A5"/>
    <w:rsid w:val="001A6DA9"/>
    <w:rsid w:val="001B1360"/>
    <w:rsid w:val="001B197A"/>
    <w:rsid w:val="001B3C29"/>
    <w:rsid w:val="001B6321"/>
    <w:rsid w:val="001B65C0"/>
    <w:rsid w:val="001B7352"/>
    <w:rsid w:val="001C174F"/>
    <w:rsid w:val="001C2844"/>
    <w:rsid w:val="001C3FDE"/>
    <w:rsid w:val="001C4313"/>
    <w:rsid w:val="001C48B0"/>
    <w:rsid w:val="001C4EF8"/>
    <w:rsid w:val="001C51E6"/>
    <w:rsid w:val="001C5608"/>
    <w:rsid w:val="001C5EE3"/>
    <w:rsid w:val="001C6C28"/>
    <w:rsid w:val="001C71D0"/>
    <w:rsid w:val="001C73EC"/>
    <w:rsid w:val="001C7584"/>
    <w:rsid w:val="001C7B34"/>
    <w:rsid w:val="001D0145"/>
    <w:rsid w:val="001D0904"/>
    <w:rsid w:val="001D0A4B"/>
    <w:rsid w:val="001D2C0F"/>
    <w:rsid w:val="001D424F"/>
    <w:rsid w:val="001D4469"/>
    <w:rsid w:val="001D4B58"/>
    <w:rsid w:val="001D4E33"/>
    <w:rsid w:val="001D4E6E"/>
    <w:rsid w:val="001D554A"/>
    <w:rsid w:val="001E14E6"/>
    <w:rsid w:val="001E24E5"/>
    <w:rsid w:val="001E25EA"/>
    <w:rsid w:val="001E3238"/>
    <w:rsid w:val="001E3504"/>
    <w:rsid w:val="001E37DA"/>
    <w:rsid w:val="001E37EA"/>
    <w:rsid w:val="001E3AB8"/>
    <w:rsid w:val="001E3B6D"/>
    <w:rsid w:val="001E5A98"/>
    <w:rsid w:val="001F006B"/>
    <w:rsid w:val="001F1ABC"/>
    <w:rsid w:val="001F21D9"/>
    <w:rsid w:val="001F3031"/>
    <w:rsid w:val="001F3429"/>
    <w:rsid w:val="001F46FD"/>
    <w:rsid w:val="001F6D9D"/>
    <w:rsid w:val="001F786D"/>
    <w:rsid w:val="002016F0"/>
    <w:rsid w:val="002017F2"/>
    <w:rsid w:val="002038B2"/>
    <w:rsid w:val="0020506C"/>
    <w:rsid w:val="00205AA9"/>
    <w:rsid w:val="00205E20"/>
    <w:rsid w:val="0020616E"/>
    <w:rsid w:val="00206C11"/>
    <w:rsid w:val="00210224"/>
    <w:rsid w:val="00210528"/>
    <w:rsid w:val="0021100E"/>
    <w:rsid w:val="002119D2"/>
    <w:rsid w:val="00211FE0"/>
    <w:rsid w:val="00212053"/>
    <w:rsid w:val="002125B1"/>
    <w:rsid w:val="002129D5"/>
    <w:rsid w:val="002130FB"/>
    <w:rsid w:val="002131A8"/>
    <w:rsid w:val="002134DA"/>
    <w:rsid w:val="002144E4"/>
    <w:rsid w:val="00214F7F"/>
    <w:rsid w:val="00215FAA"/>
    <w:rsid w:val="00217A3C"/>
    <w:rsid w:val="00220E71"/>
    <w:rsid w:val="0022162A"/>
    <w:rsid w:val="00221EA2"/>
    <w:rsid w:val="00221F82"/>
    <w:rsid w:val="002238B7"/>
    <w:rsid w:val="002239FE"/>
    <w:rsid w:val="0022501E"/>
    <w:rsid w:val="002254AE"/>
    <w:rsid w:val="00226921"/>
    <w:rsid w:val="00227085"/>
    <w:rsid w:val="00227BA1"/>
    <w:rsid w:val="002303FA"/>
    <w:rsid w:val="00230E8D"/>
    <w:rsid w:val="00233B0B"/>
    <w:rsid w:val="002346B5"/>
    <w:rsid w:val="00235E49"/>
    <w:rsid w:val="00237EC4"/>
    <w:rsid w:val="0024026B"/>
    <w:rsid w:val="0024121A"/>
    <w:rsid w:val="00241E91"/>
    <w:rsid w:val="00242993"/>
    <w:rsid w:val="002429F2"/>
    <w:rsid w:val="00243A3A"/>
    <w:rsid w:val="002441FB"/>
    <w:rsid w:val="00244804"/>
    <w:rsid w:val="00245F5A"/>
    <w:rsid w:val="002464F7"/>
    <w:rsid w:val="0024674A"/>
    <w:rsid w:val="002470E3"/>
    <w:rsid w:val="00250152"/>
    <w:rsid w:val="00253537"/>
    <w:rsid w:val="00255487"/>
    <w:rsid w:val="00255853"/>
    <w:rsid w:val="002577E1"/>
    <w:rsid w:val="00257D8A"/>
    <w:rsid w:val="002600AC"/>
    <w:rsid w:val="00260C50"/>
    <w:rsid w:val="00261867"/>
    <w:rsid w:val="00262496"/>
    <w:rsid w:val="00262B25"/>
    <w:rsid w:val="002634BC"/>
    <w:rsid w:val="00263D7D"/>
    <w:rsid w:val="00264E4E"/>
    <w:rsid w:val="00264E85"/>
    <w:rsid w:val="00264EFE"/>
    <w:rsid w:val="002663A4"/>
    <w:rsid w:val="002664E3"/>
    <w:rsid w:val="00266820"/>
    <w:rsid w:val="00270D50"/>
    <w:rsid w:val="002719C6"/>
    <w:rsid w:val="00271D16"/>
    <w:rsid w:val="002732EE"/>
    <w:rsid w:val="00273E8A"/>
    <w:rsid w:val="00275987"/>
    <w:rsid w:val="00276A5C"/>
    <w:rsid w:val="00276D83"/>
    <w:rsid w:val="0027790D"/>
    <w:rsid w:val="002779E3"/>
    <w:rsid w:val="00280379"/>
    <w:rsid w:val="00284FEE"/>
    <w:rsid w:val="0028605C"/>
    <w:rsid w:val="00286643"/>
    <w:rsid w:val="002874CA"/>
    <w:rsid w:val="00287AF7"/>
    <w:rsid w:val="00287BA0"/>
    <w:rsid w:val="00290DC7"/>
    <w:rsid w:val="0029286A"/>
    <w:rsid w:val="002939D6"/>
    <w:rsid w:val="002966E4"/>
    <w:rsid w:val="00297B87"/>
    <w:rsid w:val="00297E04"/>
    <w:rsid w:val="002A181A"/>
    <w:rsid w:val="002A207D"/>
    <w:rsid w:val="002A2100"/>
    <w:rsid w:val="002A3068"/>
    <w:rsid w:val="002A3131"/>
    <w:rsid w:val="002A3464"/>
    <w:rsid w:val="002A3EB8"/>
    <w:rsid w:val="002A4447"/>
    <w:rsid w:val="002A46F3"/>
    <w:rsid w:val="002A503A"/>
    <w:rsid w:val="002A525C"/>
    <w:rsid w:val="002A567A"/>
    <w:rsid w:val="002A665B"/>
    <w:rsid w:val="002A6D8D"/>
    <w:rsid w:val="002A71A0"/>
    <w:rsid w:val="002A78E3"/>
    <w:rsid w:val="002B06B1"/>
    <w:rsid w:val="002B1797"/>
    <w:rsid w:val="002B3AD3"/>
    <w:rsid w:val="002B5A6E"/>
    <w:rsid w:val="002B665C"/>
    <w:rsid w:val="002B69DB"/>
    <w:rsid w:val="002B6F66"/>
    <w:rsid w:val="002C0B3C"/>
    <w:rsid w:val="002C20A7"/>
    <w:rsid w:val="002C2353"/>
    <w:rsid w:val="002C2468"/>
    <w:rsid w:val="002C2523"/>
    <w:rsid w:val="002C2E7D"/>
    <w:rsid w:val="002C4475"/>
    <w:rsid w:val="002C499B"/>
    <w:rsid w:val="002C5F61"/>
    <w:rsid w:val="002C6604"/>
    <w:rsid w:val="002C66EA"/>
    <w:rsid w:val="002C6D12"/>
    <w:rsid w:val="002C6D5E"/>
    <w:rsid w:val="002C6FF1"/>
    <w:rsid w:val="002C763C"/>
    <w:rsid w:val="002D0DE8"/>
    <w:rsid w:val="002D10C9"/>
    <w:rsid w:val="002D1B4A"/>
    <w:rsid w:val="002D1E7B"/>
    <w:rsid w:val="002D256B"/>
    <w:rsid w:val="002D41DB"/>
    <w:rsid w:val="002D48E6"/>
    <w:rsid w:val="002D5401"/>
    <w:rsid w:val="002D5999"/>
    <w:rsid w:val="002D6085"/>
    <w:rsid w:val="002D6164"/>
    <w:rsid w:val="002D6C14"/>
    <w:rsid w:val="002D714E"/>
    <w:rsid w:val="002D7A50"/>
    <w:rsid w:val="002D7B35"/>
    <w:rsid w:val="002E03B1"/>
    <w:rsid w:val="002E16BD"/>
    <w:rsid w:val="002E1A83"/>
    <w:rsid w:val="002E3DAC"/>
    <w:rsid w:val="002E3F87"/>
    <w:rsid w:val="002E54E1"/>
    <w:rsid w:val="002E7750"/>
    <w:rsid w:val="002E7865"/>
    <w:rsid w:val="002E787B"/>
    <w:rsid w:val="002E7C35"/>
    <w:rsid w:val="002F0342"/>
    <w:rsid w:val="002F0FB6"/>
    <w:rsid w:val="002F0FBA"/>
    <w:rsid w:val="002F2104"/>
    <w:rsid w:val="002F426F"/>
    <w:rsid w:val="002F5619"/>
    <w:rsid w:val="002F5A38"/>
    <w:rsid w:val="002F6535"/>
    <w:rsid w:val="002F70A4"/>
    <w:rsid w:val="003003BA"/>
    <w:rsid w:val="00300926"/>
    <w:rsid w:val="00301905"/>
    <w:rsid w:val="00302A54"/>
    <w:rsid w:val="00302EDD"/>
    <w:rsid w:val="003035D1"/>
    <w:rsid w:val="00304BEC"/>
    <w:rsid w:val="00304E86"/>
    <w:rsid w:val="003069BD"/>
    <w:rsid w:val="00306A7C"/>
    <w:rsid w:val="00307791"/>
    <w:rsid w:val="00307E7E"/>
    <w:rsid w:val="003100FC"/>
    <w:rsid w:val="0031088A"/>
    <w:rsid w:val="00311FA1"/>
    <w:rsid w:val="00312038"/>
    <w:rsid w:val="00312096"/>
    <w:rsid w:val="00312141"/>
    <w:rsid w:val="00312311"/>
    <w:rsid w:val="00315039"/>
    <w:rsid w:val="003153BC"/>
    <w:rsid w:val="00315680"/>
    <w:rsid w:val="003172CD"/>
    <w:rsid w:val="0031767E"/>
    <w:rsid w:val="00317CCF"/>
    <w:rsid w:val="003200E8"/>
    <w:rsid w:val="00320EE7"/>
    <w:rsid w:val="0032137E"/>
    <w:rsid w:val="00321C46"/>
    <w:rsid w:val="00322607"/>
    <w:rsid w:val="0032333F"/>
    <w:rsid w:val="0032352E"/>
    <w:rsid w:val="00323C93"/>
    <w:rsid w:val="0032511F"/>
    <w:rsid w:val="003252F6"/>
    <w:rsid w:val="003261A7"/>
    <w:rsid w:val="003266AA"/>
    <w:rsid w:val="00326A9D"/>
    <w:rsid w:val="003323D1"/>
    <w:rsid w:val="003329AD"/>
    <w:rsid w:val="00332B7F"/>
    <w:rsid w:val="003341C6"/>
    <w:rsid w:val="003350B3"/>
    <w:rsid w:val="0033633D"/>
    <w:rsid w:val="00336588"/>
    <w:rsid w:val="00336B74"/>
    <w:rsid w:val="0033723A"/>
    <w:rsid w:val="00340555"/>
    <w:rsid w:val="00340932"/>
    <w:rsid w:val="00342892"/>
    <w:rsid w:val="0034386A"/>
    <w:rsid w:val="003441F3"/>
    <w:rsid w:val="0034529C"/>
    <w:rsid w:val="00345606"/>
    <w:rsid w:val="00345A35"/>
    <w:rsid w:val="00346488"/>
    <w:rsid w:val="003467A9"/>
    <w:rsid w:val="00347A51"/>
    <w:rsid w:val="003506CF"/>
    <w:rsid w:val="00350EF7"/>
    <w:rsid w:val="00354068"/>
    <w:rsid w:val="003540E3"/>
    <w:rsid w:val="00356220"/>
    <w:rsid w:val="003567ED"/>
    <w:rsid w:val="003622E6"/>
    <w:rsid w:val="00363C9C"/>
    <w:rsid w:val="00363D7B"/>
    <w:rsid w:val="003647B0"/>
    <w:rsid w:val="00364E7A"/>
    <w:rsid w:val="0036502A"/>
    <w:rsid w:val="003663E9"/>
    <w:rsid w:val="0036763E"/>
    <w:rsid w:val="003679B9"/>
    <w:rsid w:val="00367D04"/>
    <w:rsid w:val="00367EBC"/>
    <w:rsid w:val="00371587"/>
    <w:rsid w:val="003725A2"/>
    <w:rsid w:val="003730A6"/>
    <w:rsid w:val="003730B2"/>
    <w:rsid w:val="00373B0A"/>
    <w:rsid w:val="0037470B"/>
    <w:rsid w:val="0037484D"/>
    <w:rsid w:val="00374888"/>
    <w:rsid w:val="0037663E"/>
    <w:rsid w:val="00377DA6"/>
    <w:rsid w:val="00381A5B"/>
    <w:rsid w:val="00382E9C"/>
    <w:rsid w:val="00382FF5"/>
    <w:rsid w:val="00383447"/>
    <w:rsid w:val="0038400B"/>
    <w:rsid w:val="003843DA"/>
    <w:rsid w:val="00384D25"/>
    <w:rsid w:val="0038637B"/>
    <w:rsid w:val="0038673B"/>
    <w:rsid w:val="00391EC9"/>
    <w:rsid w:val="00392E74"/>
    <w:rsid w:val="00393CC8"/>
    <w:rsid w:val="00393D9D"/>
    <w:rsid w:val="003953FA"/>
    <w:rsid w:val="0039574F"/>
    <w:rsid w:val="00395B12"/>
    <w:rsid w:val="003974D3"/>
    <w:rsid w:val="003A0257"/>
    <w:rsid w:val="003A1E05"/>
    <w:rsid w:val="003A2AFA"/>
    <w:rsid w:val="003A2E3E"/>
    <w:rsid w:val="003A336F"/>
    <w:rsid w:val="003A3C89"/>
    <w:rsid w:val="003A468D"/>
    <w:rsid w:val="003A4F7E"/>
    <w:rsid w:val="003A6A25"/>
    <w:rsid w:val="003A7F2A"/>
    <w:rsid w:val="003B016D"/>
    <w:rsid w:val="003B1CD7"/>
    <w:rsid w:val="003B42C0"/>
    <w:rsid w:val="003B6D57"/>
    <w:rsid w:val="003B78DB"/>
    <w:rsid w:val="003C2DCB"/>
    <w:rsid w:val="003C3376"/>
    <w:rsid w:val="003C68B8"/>
    <w:rsid w:val="003C6C74"/>
    <w:rsid w:val="003C7354"/>
    <w:rsid w:val="003C76D6"/>
    <w:rsid w:val="003D107C"/>
    <w:rsid w:val="003D17AC"/>
    <w:rsid w:val="003D22E0"/>
    <w:rsid w:val="003D27AA"/>
    <w:rsid w:val="003D3217"/>
    <w:rsid w:val="003D5629"/>
    <w:rsid w:val="003D7C1C"/>
    <w:rsid w:val="003D7FB3"/>
    <w:rsid w:val="003E0B2B"/>
    <w:rsid w:val="003E13CE"/>
    <w:rsid w:val="003E2D57"/>
    <w:rsid w:val="003E3341"/>
    <w:rsid w:val="003E43FF"/>
    <w:rsid w:val="003E4A36"/>
    <w:rsid w:val="003E5F3E"/>
    <w:rsid w:val="003E71AE"/>
    <w:rsid w:val="003E73AC"/>
    <w:rsid w:val="003F0780"/>
    <w:rsid w:val="003F09C9"/>
    <w:rsid w:val="003F186C"/>
    <w:rsid w:val="003F3A5C"/>
    <w:rsid w:val="003F4299"/>
    <w:rsid w:val="003F5BB3"/>
    <w:rsid w:val="003F5E51"/>
    <w:rsid w:val="003F62B3"/>
    <w:rsid w:val="003F6C8E"/>
    <w:rsid w:val="004002C7"/>
    <w:rsid w:val="00400AD2"/>
    <w:rsid w:val="004013F9"/>
    <w:rsid w:val="004025A5"/>
    <w:rsid w:val="00403020"/>
    <w:rsid w:val="0040364A"/>
    <w:rsid w:val="004038C7"/>
    <w:rsid w:val="0040390C"/>
    <w:rsid w:val="004062AE"/>
    <w:rsid w:val="00407954"/>
    <w:rsid w:val="00411D61"/>
    <w:rsid w:val="004121DC"/>
    <w:rsid w:val="00412CB6"/>
    <w:rsid w:val="00413003"/>
    <w:rsid w:val="00414E65"/>
    <w:rsid w:val="004150F0"/>
    <w:rsid w:val="004168E1"/>
    <w:rsid w:val="00417116"/>
    <w:rsid w:val="00417189"/>
    <w:rsid w:val="00417C82"/>
    <w:rsid w:val="00420CF5"/>
    <w:rsid w:val="00420DE1"/>
    <w:rsid w:val="004227EB"/>
    <w:rsid w:val="0042346B"/>
    <w:rsid w:val="00430F18"/>
    <w:rsid w:val="00431881"/>
    <w:rsid w:val="00431CA1"/>
    <w:rsid w:val="00432096"/>
    <w:rsid w:val="00432B27"/>
    <w:rsid w:val="004339C1"/>
    <w:rsid w:val="0043426E"/>
    <w:rsid w:val="00434338"/>
    <w:rsid w:val="004358AD"/>
    <w:rsid w:val="00435C10"/>
    <w:rsid w:val="004363CE"/>
    <w:rsid w:val="00436A11"/>
    <w:rsid w:val="00437C34"/>
    <w:rsid w:val="00437E55"/>
    <w:rsid w:val="00440010"/>
    <w:rsid w:val="004408B2"/>
    <w:rsid w:val="004413D9"/>
    <w:rsid w:val="00441836"/>
    <w:rsid w:val="00441DB7"/>
    <w:rsid w:val="00441E1E"/>
    <w:rsid w:val="0044207E"/>
    <w:rsid w:val="0044408C"/>
    <w:rsid w:val="00446132"/>
    <w:rsid w:val="00446910"/>
    <w:rsid w:val="00450C9A"/>
    <w:rsid w:val="00450ED7"/>
    <w:rsid w:val="00452371"/>
    <w:rsid w:val="0045345B"/>
    <w:rsid w:val="00454B77"/>
    <w:rsid w:val="00454F46"/>
    <w:rsid w:val="0045557F"/>
    <w:rsid w:val="00455B09"/>
    <w:rsid w:val="0045629D"/>
    <w:rsid w:val="0045778E"/>
    <w:rsid w:val="00457D55"/>
    <w:rsid w:val="004600F6"/>
    <w:rsid w:val="0046060D"/>
    <w:rsid w:val="004610A8"/>
    <w:rsid w:val="004610F2"/>
    <w:rsid w:val="004612B2"/>
    <w:rsid w:val="004625A1"/>
    <w:rsid w:val="0047035E"/>
    <w:rsid w:val="004711AC"/>
    <w:rsid w:val="004717A1"/>
    <w:rsid w:val="00471AFF"/>
    <w:rsid w:val="00471FE5"/>
    <w:rsid w:val="0047279E"/>
    <w:rsid w:val="004731DA"/>
    <w:rsid w:val="00474265"/>
    <w:rsid w:val="00474561"/>
    <w:rsid w:val="0047611E"/>
    <w:rsid w:val="00476624"/>
    <w:rsid w:val="00477010"/>
    <w:rsid w:val="0047798E"/>
    <w:rsid w:val="00480012"/>
    <w:rsid w:val="00480502"/>
    <w:rsid w:val="00480D95"/>
    <w:rsid w:val="00482316"/>
    <w:rsid w:val="00483BBB"/>
    <w:rsid w:val="00484543"/>
    <w:rsid w:val="00485528"/>
    <w:rsid w:val="0048640E"/>
    <w:rsid w:val="00486910"/>
    <w:rsid w:val="00486CC1"/>
    <w:rsid w:val="004871DC"/>
    <w:rsid w:val="00487490"/>
    <w:rsid w:val="004877AD"/>
    <w:rsid w:val="0048786C"/>
    <w:rsid w:val="00487ED0"/>
    <w:rsid w:val="00491D47"/>
    <w:rsid w:val="0049260B"/>
    <w:rsid w:val="0049278F"/>
    <w:rsid w:val="00493196"/>
    <w:rsid w:val="00494558"/>
    <w:rsid w:val="004945E7"/>
    <w:rsid w:val="00494F95"/>
    <w:rsid w:val="00497CA8"/>
    <w:rsid w:val="004A0625"/>
    <w:rsid w:val="004A2D25"/>
    <w:rsid w:val="004A30E2"/>
    <w:rsid w:val="004A3171"/>
    <w:rsid w:val="004A34B2"/>
    <w:rsid w:val="004B0B58"/>
    <w:rsid w:val="004B3659"/>
    <w:rsid w:val="004B3D48"/>
    <w:rsid w:val="004B56E7"/>
    <w:rsid w:val="004B5DE4"/>
    <w:rsid w:val="004B634A"/>
    <w:rsid w:val="004B7D76"/>
    <w:rsid w:val="004C19FA"/>
    <w:rsid w:val="004C3973"/>
    <w:rsid w:val="004C3A14"/>
    <w:rsid w:val="004C3AEE"/>
    <w:rsid w:val="004C3EBB"/>
    <w:rsid w:val="004C41B7"/>
    <w:rsid w:val="004C4455"/>
    <w:rsid w:val="004C5E17"/>
    <w:rsid w:val="004C60C0"/>
    <w:rsid w:val="004C67A0"/>
    <w:rsid w:val="004C67CC"/>
    <w:rsid w:val="004C6EA0"/>
    <w:rsid w:val="004C6F2F"/>
    <w:rsid w:val="004D0884"/>
    <w:rsid w:val="004D27BA"/>
    <w:rsid w:val="004D3284"/>
    <w:rsid w:val="004D3C72"/>
    <w:rsid w:val="004D427D"/>
    <w:rsid w:val="004D4C2F"/>
    <w:rsid w:val="004D5248"/>
    <w:rsid w:val="004D52D1"/>
    <w:rsid w:val="004D55BC"/>
    <w:rsid w:val="004D5A47"/>
    <w:rsid w:val="004D6066"/>
    <w:rsid w:val="004D636C"/>
    <w:rsid w:val="004D6542"/>
    <w:rsid w:val="004D7306"/>
    <w:rsid w:val="004E1010"/>
    <w:rsid w:val="004E1146"/>
    <w:rsid w:val="004E1574"/>
    <w:rsid w:val="004E2723"/>
    <w:rsid w:val="004E4215"/>
    <w:rsid w:val="004E662C"/>
    <w:rsid w:val="004E6D20"/>
    <w:rsid w:val="004F20E4"/>
    <w:rsid w:val="004F28B7"/>
    <w:rsid w:val="004F2C40"/>
    <w:rsid w:val="004F3718"/>
    <w:rsid w:val="004F6048"/>
    <w:rsid w:val="004F6284"/>
    <w:rsid w:val="004F66B2"/>
    <w:rsid w:val="004F6C41"/>
    <w:rsid w:val="004F6E8A"/>
    <w:rsid w:val="005000EB"/>
    <w:rsid w:val="00502A1E"/>
    <w:rsid w:val="0050342B"/>
    <w:rsid w:val="005036A1"/>
    <w:rsid w:val="00504DF0"/>
    <w:rsid w:val="005056EB"/>
    <w:rsid w:val="005056FD"/>
    <w:rsid w:val="005063EA"/>
    <w:rsid w:val="00506A42"/>
    <w:rsid w:val="00507B35"/>
    <w:rsid w:val="005100EA"/>
    <w:rsid w:val="00512976"/>
    <w:rsid w:val="00512AEF"/>
    <w:rsid w:val="005131D0"/>
    <w:rsid w:val="005133B4"/>
    <w:rsid w:val="00513893"/>
    <w:rsid w:val="0051497F"/>
    <w:rsid w:val="00514A06"/>
    <w:rsid w:val="00515540"/>
    <w:rsid w:val="0051666B"/>
    <w:rsid w:val="005168D1"/>
    <w:rsid w:val="005168FD"/>
    <w:rsid w:val="00516BF7"/>
    <w:rsid w:val="0052227A"/>
    <w:rsid w:val="00522347"/>
    <w:rsid w:val="00522921"/>
    <w:rsid w:val="005232EF"/>
    <w:rsid w:val="00523751"/>
    <w:rsid w:val="005257CA"/>
    <w:rsid w:val="00527198"/>
    <w:rsid w:val="00527C65"/>
    <w:rsid w:val="00527D60"/>
    <w:rsid w:val="00531C8C"/>
    <w:rsid w:val="00531D65"/>
    <w:rsid w:val="00531F64"/>
    <w:rsid w:val="00532E9D"/>
    <w:rsid w:val="00535646"/>
    <w:rsid w:val="0053611A"/>
    <w:rsid w:val="005364ED"/>
    <w:rsid w:val="00536585"/>
    <w:rsid w:val="00536EDC"/>
    <w:rsid w:val="00540DE2"/>
    <w:rsid w:val="00540EE9"/>
    <w:rsid w:val="0054128A"/>
    <w:rsid w:val="00542039"/>
    <w:rsid w:val="00542D7D"/>
    <w:rsid w:val="00542F98"/>
    <w:rsid w:val="00543846"/>
    <w:rsid w:val="00544361"/>
    <w:rsid w:val="0054465C"/>
    <w:rsid w:val="00544697"/>
    <w:rsid w:val="00544E7E"/>
    <w:rsid w:val="00544F6D"/>
    <w:rsid w:val="00545BCB"/>
    <w:rsid w:val="00547FAA"/>
    <w:rsid w:val="00550B55"/>
    <w:rsid w:val="005519FD"/>
    <w:rsid w:val="0055315F"/>
    <w:rsid w:val="00554F80"/>
    <w:rsid w:val="005554C7"/>
    <w:rsid w:val="005562A8"/>
    <w:rsid w:val="005578C6"/>
    <w:rsid w:val="00560180"/>
    <w:rsid w:val="00560767"/>
    <w:rsid w:val="00560BD6"/>
    <w:rsid w:val="00560C2F"/>
    <w:rsid w:val="00560D87"/>
    <w:rsid w:val="00561262"/>
    <w:rsid w:val="00561880"/>
    <w:rsid w:val="00561C47"/>
    <w:rsid w:val="00563203"/>
    <w:rsid w:val="00563B4C"/>
    <w:rsid w:val="00563E32"/>
    <w:rsid w:val="00564B7F"/>
    <w:rsid w:val="005668FF"/>
    <w:rsid w:val="00570D64"/>
    <w:rsid w:val="005726A1"/>
    <w:rsid w:val="005741DF"/>
    <w:rsid w:val="00576335"/>
    <w:rsid w:val="005766A0"/>
    <w:rsid w:val="005767CB"/>
    <w:rsid w:val="005769AD"/>
    <w:rsid w:val="00577FAC"/>
    <w:rsid w:val="005819DC"/>
    <w:rsid w:val="005820EE"/>
    <w:rsid w:val="00582BB3"/>
    <w:rsid w:val="00583B3C"/>
    <w:rsid w:val="00584A22"/>
    <w:rsid w:val="005850CC"/>
    <w:rsid w:val="00585470"/>
    <w:rsid w:val="00591638"/>
    <w:rsid w:val="00594EA5"/>
    <w:rsid w:val="005952A2"/>
    <w:rsid w:val="00595622"/>
    <w:rsid w:val="00595DD3"/>
    <w:rsid w:val="0059695B"/>
    <w:rsid w:val="00596EE1"/>
    <w:rsid w:val="005972EC"/>
    <w:rsid w:val="005A2065"/>
    <w:rsid w:val="005A311E"/>
    <w:rsid w:val="005A42BF"/>
    <w:rsid w:val="005A495E"/>
    <w:rsid w:val="005A4D5D"/>
    <w:rsid w:val="005A5203"/>
    <w:rsid w:val="005A5331"/>
    <w:rsid w:val="005A5C8E"/>
    <w:rsid w:val="005A6975"/>
    <w:rsid w:val="005A7550"/>
    <w:rsid w:val="005A7E99"/>
    <w:rsid w:val="005B0EC0"/>
    <w:rsid w:val="005B0ECB"/>
    <w:rsid w:val="005B16B2"/>
    <w:rsid w:val="005B2312"/>
    <w:rsid w:val="005B2415"/>
    <w:rsid w:val="005B301F"/>
    <w:rsid w:val="005B39C1"/>
    <w:rsid w:val="005B3DEC"/>
    <w:rsid w:val="005B3F2E"/>
    <w:rsid w:val="005B41EA"/>
    <w:rsid w:val="005B4A2D"/>
    <w:rsid w:val="005B68CB"/>
    <w:rsid w:val="005B6A4E"/>
    <w:rsid w:val="005B76A9"/>
    <w:rsid w:val="005C10E8"/>
    <w:rsid w:val="005C1D05"/>
    <w:rsid w:val="005C21FF"/>
    <w:rsid w:val="005C3B0B"/>
    <w:rsid w:val="005C3EF6"/>
    <w:rsid w:val="005C5084"/>
    <w:rsid w:val="005C6183"/>
    <w:rsid w:val="005C741B"/>
    <w:rsid w:val="005D0339"/>
    <w:rsid w:val="005D19E2"/>
    <w:rsid w:val="005D19F8"/>
    <w:rsid w:val="005D1FE1"/>
    <w:rsid w:val="005D2F76"/>
    <w:rsid w:val="005D363E"/>
    <w:rsid w:val="005D3A4C"/>
    <w:rsid w:val="005D3C55"/>
    <w:rsid w:val="005D3CBF"/>
    <w:rsid w:val="005D41A1"/>
    <w:rsid w:val="005D6325"/>
    <w:rsid w:val="005D70A6"/>
    <w:rsid w:val="005E05F7"/>
    <w:rsid w:val="005E1C55"/>
    <w:rsid w:val="005E2A2A"/>
    <w:rsid w:val="005E2CFD"/>
    <w:rsid w:val="005E2D82"/>
    <w:rsid w:val="005E3AE0"/>
    <w:rsid w:val="005E4FE4"/>
    <w:rsid w:val="005E5098"/>
    <w:rsid w:val="005E64C0"/>
    <w:rsid w:val="005E7D56"/>
    <w:rsid w:val="005F1C46"/>
    <w:rsid w:val="005F2B90"/>
    <w:rsid w:val="005F334F"/>
    <w:rsid w:val="005F4E06"/>
    <w:rsid w:val="005F593C"/>
    <w:rsid w:val="005F689D"/>
    <w:rsid w:val="005F69CA"/>
    <w:rsid w:val="005F6A9A"/>
    <w:rsid w:val="005F6CBC"/>
    <w:rsid w:val="005F7E74"/>
    <w:rsid w:val="00601110"/>
    <w:rsid w:val="00601C22"/>
    <w:rsid w:val="0060337F"/>
    <w:rsid w:val="00603C35"/>
    <w:rsid w:val="006040B3"/>
    <w:rsid w:val="00605F1E"/>
    <w:rsid w:val="006060F1"/>
    <w:rsid w:val="00606F14"/>
    <w:rsid w:val="006076D7"/>
    <w:rsid w:val="006129A9"/>
    <w:rsid w:val="0061314E"/>
    <w:rsid w:val="006131F5"/>
    <w:rsid w:val="00613856"/>
    <w:rsid w:val="00613B20"/>
    <w:rsid w:val="00613DB5"/>
    <w:rsid w:val="006174F3"/>
    <w:rsid w:val="0061790A"/>
    <w:rsid w:val="00617AD7"/>
    <w:rsid w:val="00617E23"/>
    <w:rsid w:val="00620951"/>
    <w:rsid w:val="0062127D"/>
    <w:rsid w:val="00622E1C"/>
    <w:rsid w:val="006232BD"/>
    <w:rsid w:val="006239A8"/>
    <w:rsid w:val="006244D9"/>
    <w:rsid w:val="00625551"/>
    <w:rsid w:val="006258D6"/>
    <w:rsid w:val="00625F12"/>
    <w:rsid w:val="006260D1"/>
    <w:rsid w:val="006271E8"/>
    <w:rsid w:val="006277FE"/>
    <w:rsid w:val="00630418"/>
    <w:rsid w:val="00630733"/>
    <w:rsid w:val="00631340"/>
    <w:rsid w:val="0063167E"/>
    <w:rsid w:val="006326E6"/>
    <w:rsid w:val="00632B74"/>
    <w:rsid w:val="006357F8"/>
    <w:rsid w:val="00636FA9"/>
    <w:rsid w:val="006378CE"/>
    <w:rsid w:val="00637CB6"/>
    <w:rsid w:val="006401C4"/>
    <w:rsid w:val="00640DCD"/>
    <w:rsid w:val="00642051"/>
    <w:rsid w:val="00642DD9"/>
    <w:rsid w:val="00643D1B"/>
    <w:rsid w:val="00643D67"/>
    <w:rsid w:val="00644BCD"/>
    <w:rsid w:val="00644F71"/>
    <w:rsid w:val="006450CF"/>
    <w:rsid w:val="006458E5"/>
    <w:rsid w:val="0064644D"/>
    <w:rsid w:val="00646784"/>
    <w:rsid w:val="00646E59"/>
    <w:rsid w:val="00646EF9"/>
    <w:rsid w:val="00650E40"/>
    <w:rsid w:val="006519D7"/>
    <w:rsid w:val="006528B1"/>
    <w:rsid w:val="006540FF"/>
    <w:rsid w:val="00654FAB"/>
    <w:rsid w:val="00655287"/>
    <w:rsid w:val="00656E6B"/>
    <w:rsid w:val="00656FCB"/>
    <w:rsid w:val="006579C2"/>
    <w:rsid w:val="00657DB0"/>
    <w:rsid w:val="0066035D"/>
    <w:rsid w:val="006603D2"/>
    <w:rsid w:val="00661013"/>
    <w:rsid w:val="00661E19"/>
    <w:rsid w:val="00662DB3"/>
    <w:rsid w:val="00662FDD"/>
    <w:rsid w:val="00665CD1"/>
    <w:rsid w:val="00667FE5"/>
    <w:rsid w:val="00670112"/>
    <w:rsid w:val="006703B0"/>
    <w:rsid w:val="0067040A"/>
    <w:rsid w:val="006704E0"/>
    <w:rsid w:val="00671697"/>
    <w:rsid w:val="006717EE"/>
    <w:rsid w:val="0067238A"/>
    <w:rsid w:val="00672809"/>
    <w:rsid w:val="00672925"/>
    <w:rsid w:val="006734BE"/>
    <w:rsid w:val="00673CEA"/>
    <w:rsid w:val="006741EA"/>
    <w:rsid w:val="006759DD"/>
    <w:rsid w:val="00676050"/>
    <w:rsid w:val="0067618F"/>
    <w:rsid w:val="006768AA"/>
    <w:rsid w:val="0068093F"/>
    <w:rsid w:val="006816B3"/>
    <w:rsid w:val="006864CB"/>
    <w:rsid w:val="00686C1F"/>
    <w:rsid w:val="00686D1D"/>
    <w:rsid w:val="00687893"/>
    <w:rsid w:val="00687C8A"/>
    <w:rsid w:val="00691007"/>
    <w:rsid w:val="00691A3D"/>
    <w:rsid w:val="00692853"/>
    <w:rsid w:val="00692936"/>
    <w:rsid w:val="00692B7A"/>
    <w:rsid w:val="00692D4B"/>
    <w:rsid w:val="00694A0F"/>
    <w:rsid w:val="00694FA1"/>
    <w:rsid w:val="0069630D"/>
    <w:rsid w:val="006A003C"/>
    <w:rsid w:val="006A00FD"/>
    <w:rsid w:val="006A0FF5"/>
    <w:rsid w:val="006A1593"/>
    <w:rsid w:val="006A1F23"/>
    <w:rsid w:val="006A26BD"/>
    <w:rsid w:val="006A33B9"/>
    <w:rsid w:val="006A47A3"/>
    <w:rsid w:val="006A544A"/>
    <w:rsid w:val="006A69ED"/>
    <w:rsid w:val="006B0171"/>
    <w:rsid w:val="006B0738"/>
    <w:rsid w:val="006B0E7A"/>
    <w:rsid w:val="006B28EC"/>
    <w:rsid w:val="006B3C8A"/>
    <w:rsid w:val="006B4104"/>
    <w:rsid w:val="006B4CE8"/>
    <w:rsid w:val="006C0107"/>
    <w:rsid w:val="006C0B0F"/>
    <w:rsid w:val="006C1381"/>
    <w:rsid w:val="006C40C5"/>
    <w:rsid w:val="006C429B"/>
    <w:rsid w:val="006C5B3E"/>
    <w:rsid w:val="006C5BD9"/>
    <w:rsid w:val="006C6AAF"/>
    <w:rsid w:val="006C717E"/>
    <w:rsid w:val="006C75C1"/>
    <w:rsid w:val="006D09D5"/>
    <w:rsid w:val="006D1246"/>
    <w:rsid w:val="006D15FC"/>
    <w:rsid w:val="006D1926"/>
    <w:rsid w:val="006D30CC"/>
    <w:rsid w:val="006D3C0F"/>
    <w:rsid w:val="006D477C"/>
    <w:rsid w:val="006D4BF8"/>
    <w:rsid w:val="006D529B"/>
    <w:rsid w:val="006D5A97"/>
    <w:rsid w:val="006D66D6"/>
    <w:rsid w:val="006D6A8C"/>
    <w:rsid w:val="006D7694"/>
    <w:rsid w:val="006E1B14"/>
    <w:rsid w:val="006E2050"/>
    <w:rsid w:val="006E2162"/>
    <w:rsid w:val="006E3D50"/>
    <w:rsid w:val="006E40CA"/>
    <w:rsid w:val="006E43AB"/>
    <w:rsid w:val="006E47D0"/>
    <w:rsid w:val="006E62EE"/>
    <w:rsid w:val="006E6A1D"/>
    <w:rsid w:val="006E6E61"/>
    <w:rsid w:val="006E6F51"/>
    <w:rsid w:val="006F06D2"/>
    <w:rsid w:val="006F15CC"/>
    <w:rsid w:val="006F3061"/>
    <w:rsid w:val="006F3349"/>
    <w:rsid w:val="006F37E5"/>
    <w:rsid w:val="006F3AA3"/>
    <w:rsid w:val="006F4C71"/>
    <w:rsid w:val="006F610C"/>
    <w:rsid w:val="006F6FC3"/>
    <w:rsid w:val="0070095C"/>
    <w:rsid w:val="00700A5F"/>
    <w:rsid w:val="007027AC"/>
    <w:rsid w:val="007027D2"/>
    <w:rsid w:val="0070480B"/>
    <w:rsid w:val="00704970"/>
    <w:rsid w:val="00704CD7"/>
    <w:rsid w:val="00704F45"/>
    <w:rsid w:val="007051ED"/>
    <w:rsid w:val="007072B8"/>
    <w:rsid w:val="00707F30"/>
    <w:rsid w:val="00710996"/>
    <w:rsid w:val="00712399"/>
    <w:rsid w:val="00713A30"/>
    <w:rsid w:val="00713BC4"/>
    <w:rsid w:val="007142F1"/>
    <w:rsid w:val="00714338"/>
    <w:rsid w:val="00714715"/>
    <w:rsid w:val="007156FC"/>
    <w:rsid w:val="0071680A"/>
    <w:rsid w:val="00716C6C"/>
    <w:rsid w:val="00716D21"/>
    <w:rsid w:val="007170F6"/>
    <w:rsid w:val="00717BC6"/>
    <w:rsid w:val="00720F16"/>
    <w:rsid w:val="00721C51"/>
    <w:rsid w:val="007224B8"/>
    <w:rsid w:val="007231F8"/>
    <w:rsid w:val="007234C9"/>
    <w:rsid w:val="00723960"/>
    <w:rsid w:val="00723E84"/>
    <w:rsid w:val="00724117"/>
    <w:rsid w:val="007241BF"/>
    <w:rsid w:val="00725C0E"/>
    <w:rsid w:val="00727930"/>
    <w:rsid w:val="00730105"/>
    <w:rsid w:val="0073023F"/>
    <w:rsid w:val="00731638"/>
    <w:rsid w:val="00733449"/>
    <w:rsid w:val="00734469"/>
    <w:rsid w:val="00734C27"/>
    <w:rsid w:val="0073546A"/>
    <w:rsid w:val="0073562B"/>
    <w:rsid w:val="00735673"/>
    <w:rsid w:val="007361A3"/>
    <w:rsid w:val="00736353"/>
    <w:rsid w:val="00736433"/>
    <w:rsid w:val="00736CBB"/>
    <w:rsid w:val="00737333"/>
    <w:rsid w:val="0073751D"/>
    <w:rsid w:val="007378BD"/>
    <w:rsid w:val="00737AF8"/>
    <w:rsid w:val="00740534"/>
    <w:rsid w:val="00741528"/>
    <w:rsid w:val="007416B0"/>
    <w:rsid w:val="0074380A"/>
    <w:rsid w:val="007442BF"/>
    <w:rsid w:val="007443B6"/>
    <w:rsid w:val="007457AA"/>
    <w:rsid w:val="00745814"/>
    <w:rsid w:val="007475CA"/>
    <w:rsid w:val="00750527"/>
    <w:rsid w:val="00752D8B"/>
    <w:rsid w:val="00753094"/>
    <w:rsid w:val="007532BA"/>
    <w:rsid w:val="007542B4"/>
    <w:rsid w:val="00755839"/>
    <w:rsid w:val="00755913"/>
    <w:rsid w:val="007562DE"/>
    <w:rsid w:val="00757073"/>
    <w:rsid w:val="0075720B"/>
    <w:rsid w:val="00760E8F"/>
    <w:rsid w:val="00761D09"/>
    <w:rsid w:val="00761F8B"/>
    <w:rsid w:val="007621FE"/>
    <w:rsid w:val="007625EF"/>
    <w:rsid w:val="00762884"/>
    <w:rsid w:val="0076362E"/>
    <w:rsid w:val="007647F7"/>
    <w:rsid w:val="00765967"/>
    <w:rsid w:val="00770D6E"/>
    <w:rsid w:val="007720E8"/>
    <w:rsid w:val="0077390E"/>
    <w:rsid w:val="00773BB2"/>
    <w:rsid w:val="00774492"/>
    <w:rsid w:val="007744D1"/>
    <w:rsid w:val="0077492A"/>
    <w:rsid w:val="00774DA7"/>
    <w:rsid w:val="007777EE"/>
    <w:rsid w:val="00777BC7"/>
    <w:rsid w:val="00777C43"/>
    <w:rsid w:val="00782877"/>
    <w:rsid w:val="00782D75"/>
    <w:rsid w:val="007836EE"/>
    <w:rsid w:val="00783ADB"/>
    <w:rsid w:val="00784E9D"/>
    <w:rsid w:val="007861AB"/>
    <w:rsid w:val="0078713C"/>
    <w:rsid w:val="00787446"/>
    <w:rsid w:val="007902DA"/>
    <w:rsid w:val="00790F32"/>
    <w:rsid w:val="007935EE"/>
    <w:rsid w:val="0079479A"/>
    <w:rsid w:val="007957A4"/>
    <w:rsid w:val="007A1211"/>
    <w:rsid w:val="007A13D0"/>
    <w:rsid w:val="007A16B5"/>
    <w:rsid w:val="007A2938"/>
    <w:rsid w:val="007A4716"/>
    <w:rsid w:val="007A5148"/>
    <w:rsid w:val="007A5AB1"/>
    <w:rsid w:val="007A6213"/>
    <w:rsid w:val="007A6859"/>
    <w:rsid w:val="007A6FC8"/>
    <w:rsid w:val="007A72DB"/>
    <w:rsid w:val="007B08F6"/>
    <w:rsid w:val="007B106F"/>
    <w:rsid w:val="007B2542"/>
    <w:rsid w:val="007B36FE"/>
    <w:rsid w:val="007B5217"/>
    <w:rsid w:val="007B5241"/>
    <w:rsid w:val="007B5A9D"/>
    <w:rsid w:val="007B6026"/>
    <w:rsid w:val="007B7069"/>
    <w:rsid w:val="007B7CC9"/>
    <w:rsid w:val="007C0A65"/>
    <w:rsid w:val="007C0D3A"/>
    <w:rsid w:val="007C0F9A"/>
    <w:rsid w:val="007C17C0"/>
    <w:rsid w:val="007C1E90"/>
    <w:rsid w:val="007C1FA1"/>
    <w:rsid w:val="007C286D"/>
    <w:rsid w:val="007C335D"/>
    <w:rsid w:val="007C36D7"/>
    <w:rsid w:val="007C39E6"/>
    <w:rsid w:val="007C3BF4"/>
    <w:rsid w:val="007C4C70"/>
    <w:rsid w:val="007C4D38"/>
    <w:rsid w:val="007C5476"/>
    <w:rsid w:val="007C5BFC"/>
    <w:rsid w:val="007D0AB4"/>
    <w:rsid w:val="007D0ECD"/>
    <w:rsid w:val="007D1D2E"/>
    <w:rsid w:val="007D3E3F"/>
    <w:rsid w:val="007D3E41"/>
    <w:rsid w:val="007D4C1E"/>
    <w:rsid w:val="007D5859"/>
    <w:rsid w:val="007D6AED"/>
    <w:rsid w:val="007D6CA7"/>
    <w:rsid w:val="007D74A5"/>
    <w:rsid w:val="007D76DB"/>
    <w:rsid w:val="007D7C1E"/>
    <w:rsid w:val="007E02AC"/>
    <w:rsid w:val="007E02BB"/>
    <w:rsid w:val="007E2E99"/>
    <w:rsid w:val="007E3D70"/>
    <w:rsid w:val="007E3FE7"/>
    <w:rsid w:val="007E4B07"/>
    <w:rsid w:val="007E4F3F"/>
    <w:rsid w:val="007E5BFC"/>
    <w:rsid w:val="007E5DCA"/>
    <w:rsid w:val="007E5F9C"/>
    <w:rsid w:val="007E784F"/>
    <w:rsid w:val="007F09B7"/>
    <w:rsid w:val="007F1D88"/>
    <w:rsid w:val="007F2947"/>
    <w:rsid w:val="007F3BDF"/>
    <w:rsid w:val="007F44E0"/>
    <w:rsid w:val="007F571E"/>
    <w:rsid w:val="007F5F6F"/>
    <w:rsid w:val="007F70BF"/>
    <w:rsid w:val="00801643"/>
    <w:rsid w:val="00801B31"/>
    <w:rsid w:val="008048B1"/>
    <w:rsid w:val="008054D1"/>
    <w:rsid w:val="008055C7"/>
    <w:rsid w:val="008055E3"/>
    <w:rsid w:val="00805A9A"/>
    <w:rsid w:val="008079E2"/>
    <w:rsid w:val="00810079"/>
    <w:rsid w:val="00810F4A"/>
    <w:rsid w:val="0081150F"/>
    <w:rsid w:val="0081295B"/>
    <w:rsid w:val="00813BDB"/>
    <w:rsid w:val="00815060"/>
    <w:rsid w:val="00815F18"/>
    <w:rsid w:val="00816BB7"/>
    <w:rsid w:val="00816DD2"/>
    <w:rsid w:val="0082069E"/>
    <w:rsid w:val="00820C88"/>
    <w:rsid w:val="00821077"/>
    <w:rsid w:val="00821DC5"/>
    <w:rsid w:val="00821F3D"/>
    <w:rsid w:val="00822954"/>
    <w:rsid w:val="0082338C"/>
    <w:rsid w:val="008243D1"/>
    <w:rsid w:val="008246C3"/>
    <w:rsid w:val="0082623A"/>
    <w:rsid w:val="00827132"/>
    <w:rsid w:val="0082761E"/>
    <w:rsid w:val="008277CA"/>
    <w:rsid w:val="008301B5"/>
    <w:rsid w:val="00830692"/>
    <w:rsid w:val="00830A85"/>
    <w:rsid w:val="0083175A"/>
    <w:rsid w:val="00832952"/>
    <w:rsid w:val="00833527"/>
    <w:rsid w:val="008342AB"/>
    <w:rsid w:val="00834A80"/>
    <w:rsid w:val="00835B3B"/>
    <w:rsid w:val="00837316"/>
    <w:rsid w:val="00840B7E"/>
    <w:rsid w:val="00841177"/>
    <w:rsid w:val="008414E3"/>
    <w:rsid w:val="008451A1"/>
    <w:rsid w:val="008461FD"/>
    <w:rsid w:val="0084648F"/>
    <w:rsid w:val="0084649D"/>
    <w:rsid w:val="008469CC"/>
    <w:rsid w:val="00850296"/>
    <w:rsid w:val="00851181"/>
    <w:rsid w:val="008518B6"/>
    <w:rsid w:val="00852539"/>
    <w:rsid w:val="00853061"/>
    <w:rsid w:val="00853C2C"/>
    <w:rsid w:val="00853F19"/>
    <w:rsid w:val="00854D72"/>
    <w:rsid w:val="0085502A"/>
    <w:rsid w:val="008550E5"/>
    <w:rsid w:val="00855548"/>
    <w:rsid w:val="00856CF8"/>
    <w:rsid w:val="00857E5D"/>
    <w:rsid w:val="00863418"/>
    <w:rsid w:val="00863AB8"/>
    <w:rsid w:val="00865E2B"/>
    <w:rsid w:val="00867414"/>
    <w:rsid w:val="00867B25"/>
    <w:rsid w:val="00867DD9"/>
    <w:rsid w:val="0087002F"/>
    <w:rsid w:val="00871BB3"/>
    <w:rsid w:val="00871E3A"/>
    <w:rsid w:val="00872742"/>
    <w:rsid w:val="0087344C"/>
    <w:rsid w:val="008734C6"/>
    <w:rsid w:val="008735CD"/>
    <w:rsid w:val="00873993"/>
    <w:rsid w:val="00873E8B"/>
    <w:rsid w:val="00873F7B"/>
    <w:rsid w:val="008744EE"/>
    <w:rsid w:val="00875016"/>
    <w:rsid w:val="00875395"/>
    <w:rsid w:val="00877196"/>
    <w:rsid w:val="00877E8C"/>
    <w:rsid w:val="00882D3D"/>
    <w:rsid w:val="008830C6"/>
    <w:rsid w:val="00883D99"/>
    <w:rsid w:val="00883E61"/>
    <w:rsid w:val="008840A4"/>
    <w:rsid w:val="00884BE2"/>
    <w:rsid w:val="008859A3"/>
    <w:rsid w:val="00886BBF"/>
    <w:rsid w:val="00887C70"/>
    <w:rsid w:val="008901ED"/>
    <w:rsid w:val="0089089F"/>
    <w:rsid w:val="00892A1E"/>
    <w:rsid w:val="0089377E"/>
    <w:rsid w:val="00893984"/>
    <w:rsid w:val="00893E02"/>
    <w:rsid w:val="00893FB5"/>
    <w:rsid w:val="0089474C"/>
    <w:rsid w:val="008952AF"/>
    <w:rsid w:val="00895E5C"/>
    <w:rsid w:val="00895F1B"/>
    <w:rsid w:val="00896997"/>
    <w:rsid w:val="00896DDD"/>
    <w:rsid w:val="00896ED6"/>
    <w:rsid w:val="00897837"/>
    <w:rsid w:val="008978B7"/>
    <w:rsid w:val="008979B3"/>
    <w:rsid w:val="00897D13"/>
    <w:rsid w:val="008A017B"/>
    <w:rsid w:val="008A01F4"/>
    <w:rsid w:val="008A06E4"/>
    <w:rsid w:val="008A084F"/>
    <w:rsid w:val="008A311E"/>
    <w:rsid w:val="008A34EC"/>
    <w:rsid w:val="008A50F7"/>
    <w:rsid w:val="008A50FE"/>
    <w:rsid w:val="008A67CA"/>
    <w:rsid w:val="008A740F"/>
    <w:rsid w:val="008B1672"/>
    <w:rsid w:val="008B36DA"/>
    <w:rsid w:val="008B5111"/>
    <w:rsid w:val="008B548A"/>
    <w:rsid w:val="008B5BDE"/>
    <w:rsid w:val="008B6620"/>
    <w:rsid w:val="008B69CB"/>
    <w:rsid w:val="008B7CBF"/>
    <w:rsid w:val="008C03DB"/>
    <w:rsid w:val="008C0C99"/>
    <w:rsid w:val="008C2C12"/>
    <w:rsid w:val="008C3420"/>
    <w:rsid w:val="008C50FC"/>
    <w:rsid w:val="008C6E56"/>
    <w:rsid w:val="008C6F77"/>
    <w:rsid w:val="008D02E7"/>
    <w:rsid w:val="008D2FD0"/>
    <w:rsid w:val="008D3A8A"/>
    <w:rsid w:val="008D48F0"/>
    <w:rsid w:val="008D4AE4"/>
    <w:rsid w:val="008D556C"/>
    <w:rsid w:val="008D55ED"/>
    <w:rsid w:val="008D58EC"/>
    <w:rsid w:val="008D5C8B"/>
    <w:rsid w:val="008D603F"/>
    <w:rsid w:val="008D7520"/>
    <w:rsid w:val="008D78B2"/>
    <w:rsid w:val="008D7BA8"/>
    <w:rsid w:val="008D7E15"/>
    <w:rsid w:val="008E1220"/>
    <w:rsid w:val="008E27A0"/>
    <w:rsid w:val="008E3084"/>
    <w:rsid w:val="008E3441"/>
    <w:rsid w:val="008E3F85"/>
    <w:rsid w:val="008E532A"/>
    <w:rsid w:val="008E5336"/>
    <w:rsid w:val="008E5491"/>
    <w:rsid w:val="008E7773"/>
    <w:rsid w:val="008F0265"/>
    <w:rsid w:val="008F0D88"/>
    <w:rsid w:val="008F2B0F"/>
    <w:rsid w:val="008F3825"/>
    <w:rsid w:val="008F40D1"/>
    <w:rsid w:val="008F5872"/>
    <w:rsid w:val="008F7256"/>
    <w:rsid w:val="008F737E"/>
    <w:rsid w:val="008F7385"/>
    <w:rsid w:val="008F7460"/>
    <w:rsid w:val="00900A35"/>
    <w:rsid w:val="00901911"/>
    <w:rsid w:val="00903621"/>
    <w:rsid w:val="00904603"/>
    <w:rsid w:val="00905D6E"/>
    <w:rsid w:val="0091019B"/>
    <w:rsid w:val="00910B16"/>
    <w:rsid w:val="009114CE"/>
    <w:rsid w:val="00911C47"/>
    <w:rsid w:val="00912981"/>
    <w:rsid w:val="00913083"/>
    <w:rsid w:val="0091499E"/>
    <w:rsid w:val="009149D1"/>
    <w:rsid w:val="009154E2"/>
    <w:rsid w:val="00916036"/>
    <w:rsid w:val="009163A9"/>
    <w:rsid w:val="00916ACC"/>
    <w:rsid w:val="00920DC6"/>
    <w:rsid w:val="009222FC"/>
    <w:rsid w:val="0092263C"/>
    <w:rsid w:val="009228BA"/>
    <w:rsid w:val="0092454D"/>
    <w:rsid w:val="00924757"/>
    <w:rsid w:val="00924EA6"/>
    <w:rsid w:val="00924EAB"/>
    <w:rsid w:val="00925A0D"/>
    <w:rsid w:val="009265E4"/>
    <w:rsid w:val="0092669C"/>
    <w:rsid w:val="009305BD"/>
    <w:rsid w:val="0093085B"/>
    <w:rsid w:val="00930940"/>
    <w:rsid w:val="00930EF5"/>
    <w:rsid w:val="009324F6"/>
    <w:rsid w:val="00932552"/>
    <w:rsid w:val="00932D43"/>
    <w:rsid w:val="00933ABE"/>
    <w:rsid w:val="00933AC2"/>
    <w:rsid w:val="00934035"/>
    <w:rsid w:val="009340F7"/>
    <w:rsid w:val="009353D9"/>
    <w:rsid w:val="00935AB0"/>
    <w:rsid w:val="00935F0E"/>
    <w:rsid w:val="009360B0"/>
    <w:rsid w:val="00936263"/>
    <w:rsid w:val="00936E4A"/>
    <w:rsid w:val="0094112F"/>
    <w:rsid w:val="00941785"/>
    <w:rsid w:val="00941FFF"/>
    <w:rsid w:val="0094668E"/>
    <w:rsid w:val="009466C1"/>
    <w:rsid w:val="009468DF"/>
    <w:rsid w:val="00947AC3"/>
    <w:rsid w:val="00947D7B"/>
    <w:rsid w:val="0095042A"/>
    <w:rsid w:val="00950D06"/>
    <w:rsid w:val="0095151F"/>
    <w:rsid w:val="0095161A"/>
    <w:rsid w:val="00951DC2"/>
    <w:rsid w:val="00951F38"/>
    <w:rsid w:val="00951F99"/>
    <w:rsid w:val="00952894"/>
    <w:rsid w:val="00953E95"/>
    <w:rsid w:val="009540E8"/>
    <w:rsid w:val="0095556E"/>
    <w:rsid w:val="00955D2A"/>
    <w:rsid w:val="009573C0"/>
    <w:rsid w:val="00957A6F"/>
    <w:rsid w:val="00960D03"/>
    <w:rsid w:val="00960E2D"/>
    <w:rsid w:val="00960E8A"/>
    <w:rsid w:val="0096129F"/>
    <w:rsid w:val="00961EE1"/>
    <w:rsid w:val="00963974"/>
    <w:rsid w:val="009669B2"/>
    <w:rsid w:val="0096781F"/>
    <w:rsid w:val="00967BA1"/>
    <w:rsid w:val="0097020D"/>
    <w:rsid w:val="009719D3"/>
    <w:rsid w:val="00971D47"/>
    <w:rsid w:val="00971D95"/>
    <w:rsid w:val="0097226D"/>
    <w:rsid w:val="0097415A"/>
    <w:rsid w:val="009744D5"/>
    <w:rsid w:val="00974F5F"/>
    <w:rsid w:val="00975246"/>
    <w:rsid w:val="009753A8"/>
    <w:rsid w:val="0097646E"/>
    <w:rsid w:val="009771D6"/>
    <w:rsid w:val="009800C1"/>
    <w:rsid w:val="00980B6B"/>
    <w:rsid w:val="00980EB6"/>
    <w:rsid w:val="009810A8"/>
    <w:rsid w:val="009812EF"/>
    <w:rsid w:val="0098182B"/>
    <w:rsid w:val="00981BB8"/>
    <w:rsid w:val="0098326D"/>
    <w:rsid w:val="00985C26"/>
    <w:rsid w:val="00986409"/>
    <w:rsid w:val="00986451"/>
    <w:rsid w:val="00986591"/>
    <w:rsid w:val="00986AA5"/>
    <w:rsid w:val="00987445"/>
    <w:rsid w:val="00987FB6"/>
    <w:rsid w:val="00990DC0"/>
    <w:rsid w:val="00991FF1"/>
    <w:rsid w:val="00992074"/>
    <w:rsid w:val="00993B00"/>
    <w:rsid w:val="00993D9A"/>
    <w:rsid w:val="00994281"/>
    <w:rsid w:val="00996537"/>
    <w:rsid w:val="00996DC5"/>
    <w:rsid w:val="00997B4D"/>
    <w:rsid w:val="00997B8C"/>
    <w:rsid w:val="009A01F4"/>
    <w:rsid w:val="009A2513"/>
    <w:rsid w:val="009A2907"/>
    <w:rsid w:val="009A5114"/>
    <w:rsid w:val="009A7889"/>
    <w:rsid w:val="009A7A70"/>
    <w:rsid w:val="009B0A65"/>
    <w:rsid w:val="009B10BD"/>
    <w:rsid w:val="009B1C75"/>
    <w:rsid w:val="009B1FC5"/>
    <w:rsid w:val="009B2FF5"/>
    <w:rsid w:val="009B3249"/>
    <w:rsid w:val="009B341E"/>
    <w:rsid w:val="009B4BF5"/>
    <w:rsid w:val="009B5CB3"/>
    <w:rsid w:val="009B5F92"/>
    <w:rsid w:val="009B747B"/>
    <w:rsid w:val="009C051D"/>
    <w:rsid w:val="009C196E"/>
    <w:rsid w:val="009C2372"/>
    <w:rsid w:val="009C32AF"/>
    <w:rsid w:val="009C351A"/>
    <w:rsid w:val="009C4261"/>
    <w:rsid w:val="009C64F1"/>
    <w:rsid w:val="009C6E49"/>
    <w:rsid w:val="009C7A90"/>
    <w:rsid w:val="009C7B05"/>
    <w:rsid w:val="009D11DA"/>
    <w:rsid w:val="009D16F7"/>
    <w:rsid w:val="009D3AF9"/>
    <w:rsid w:val="009D5ADF"/>
    <w:rsid w:val="009D61D9"/>
    <w:rsid w:val="009E02FD"/>
    <w:rsid w:val="009E068E"/>
    <w:rsid w:val="009E090F"/>
    <w:rsid w:val="009E0F0F"/>
    <w:rsid w:val="009E1FF0"/>
    <w:rsid w:val="009E2738"/>
    <w:rsid w:val="009E3260"/>
    <w:rsid w:val="009E356D"/>
    <w:rsid w:val="009E573D"/>
    <w:rsid w:val="009E6F04"/>
    <w:rsid w:val="009F2907"/>
    <w:rsid w:val="009F2F25"/>
    <w:rsid w:val="009F39D9"/>
    <w:rsid w:val="009F4F1F"/>
    <w:rsid w:val="009F4F2A"/>
    <w:rsid w:val="009F5029"/>
    <w:rsid w:val="009F52DA"/>
    <w:rsid w:val="009F5DC7"/>
    <w:rsid w:val="009F60BF"/>
    <w:rsid w:val="009F6C98"/>
    <w:rsid w:val="009F6F21"/>
    <w:rsid w:val="009F7D26"/>
    <w:rsid w:val="00A0018B"/>
    <w:rsid w:val="00A003FB"/>
    <w:rsid w:val="00A01DD7"/>
    <w:rsid w:val="00A02838"/>
    <w:rsid w:val="00A03CC9"/>
    <w:rsid w:val="00A04352"/>
    <w:rsid w:val="00A046BF"/>
    <w:rsid w:val="00A04902"/>
    <w:rsid w:val="00A0634F"/>
    <w:rsid w:val="00A06885"/>
    <w:rsid w:val="00A06A26"/>
    <w:rsid w:val="00A06F56"/>
    <w:rsid w:val="00A07B4F"/>
    <w:rsid w:val="00A101A4"/>
    <w:rsid w:val="00A104DD"/>
    <w:rsid w:val="00A114B8"/>
    <w:rsid w:val="00A12863"/>
    <w:rsid w:val="00A13670"/>
    <w:rsid w:val="00A1388B"/>
    <w:rsid w:val="00A14542"/>
    <w:rsid w:val="00A14A70"/>
    <w:rsid w:val="00A14E38"/>
    <w:rsid w:val="00A14F6F"/>
    <w:rsid w:val="00A1507D"/>
    <w:rsid w:val="00A16547"/>
    <w:rsid w:val="00A17D2F"/>
    <w:rsid w:val="00A2031A"/>
    <w:rsid w:val="00A222D0"/>
    <w:rsid w:val="00A23CB6"/>
    <w:rsid w:val="00A23D58"/>
    <w:rsid w:val="00A2510A"/>
    <w:rsid w:val="00A254AB"/>
    <w:rsid w:val="00A31AB1"/>
    <w:rsid w:val="00A32254"/>
    <w:rsid w:val="00A348F2"/>
    <w:rsid w:val="00A35438"/>
    <w:rsid w:val="00A354CF"/>
    <w:rsid w:val="00A36080"/>
    <w:rsid w:val="00A36299"/>
    <w:rsid w:val="00A37F26"/>
    <w:rsid w:val="00A40C23"/>
    <w:rsid w:val="00A41F61"/>
    <w:rsid w:val="00A43FDC"/>
    <w:rsid w:val="00A4484D"/>
    <w:rsid w:val="00A45865"/>
    <w:rsid w:val="00A503E1"/>
    <w:rsid w:val="00A5249A"/>
    <w:rsid w:val="00A53330"/>
    <w:rsid w:val="00A53C3C"/>
    <w:rsid w:val="00A53FC0"/>
    <w:rsid w:val="00A540E7"/>
    <w:rsid w:val="00A5515A"/>
    <w:rsid w:val="00A5659C"/>
    <w:rsid w:val="00A57E15"/>
    <w:rsid w:val="00A60088"/>
    <w:rsid w:val="00A61379"/>
    <w:rsid w:val="00A61786"/>
    <w:rsid w:val="00A61AEA"/>
    <w:rsid w:val="00A62DBB"/>
    <w:rsid w:val="00A639A8"/>
    <w:rsid w:val="00A63D33"/>
    <w:rsid w:val="00A64371"/>
    <w:rsid w:val="00A64FF9"/>
    <w:rsid w:val="00A66B1F"/>
    <w:rsid w:val="00A6793B"/>
    <w:rsid w:val="00A715DC"/>
    <w:rsid w:val="00A72A24"/>
    <w:rsid w:val="00A72B97"/>
    <w:rsid w:val="00A72C37"/>
    <w:rsid w:val="00A732BD"/>
    <w:rsid w:val="00A73BDD"/>
    <w:rsid w:val="00A751B6"/>
    <w:rsid w:val="00A75C8D"/>
    <w:rsid w:val="00A765D8"/>
    <w:rsid w:val="00A77767"/>
    <w:rsid w:val="00A80CBC"/>
    <w:rsid w:val="00A82C23"/>
    <w:rsid w:val="00A83685"/>
    <w:rsid w:val="00A84325"/>
    <w:rsid w:val="00A843E4"/>
    <w:rsid w:val="00A8443A"/>
    <w:rsid w:val="00A84A74"/>
    <w:rsid w:val="00A84D6F"/>
    <w:rsid w:val="00A86A50"/>
    <w:rsid w:val="00A86DA1"/>
    <w:rsid w:val="00A87477"/>
    <w:rsid w:val="00A900AE"/>
    <w:rsid w:val="00A913B2"/>
    <w:rsid w:val="00A9206E"/>
    <w:rsid w:val="00A92CD0"/>
    <w:rsid w:val="00A9371E"/>
    <w:rsid w:val="00A93DCE"/>
    <w:rsid w:val="00A9425B"/>
    <w:rsid w:val="00A959AC"/>
    <w:rsid w:val="00A97166"/>
    <w:rsid w:val="00A975B8"/>
    <w:rsid w:val="00AA0825"/>
    <w:rsid w:val="00AA23D1"/>
    <w:rsid w:val="00AA2F99"/>
    <w:rsid w:val="00AA40D3"/>
    <w:rsid w:val="00AA50E6"/>
    <w:rsid w:val="00AA5BB1"/>
    <w:rsid w:val="00AA6964"/>
    <w:rsid w:val="00AA7075"/>
    <w:rsid w:val="00AB0087"/>
    <w:rsid w:val="00AB10F2"/>
    <w:rsid w:val="00AB16C9"/>
    <w:rsid w:val="00AB182F"/>
    <w:rsid w:val="00AB1855"/>
    <w:rsid w:val="00AB199B"/>
    <w:rsid w:val="00AB3147"/>
    <w:rsid w:val="00AB66C2"/>
    <w:rsid w:val="00AB7302"/>
    <w:rsid w:val="00AC04A0"/>
    <w:rsid w:val="00AC0740"/>
    <w:rsid w:val="00AC076E"/>
    <w:rsid w:val="00AC083C"/>
    <w:rsid w:val="00AC37C4"/>
    <w:rsid w:val="00AC40B8"/>
    <w:rsid w:val="00AC53C9"/>
    <w:rsid w:val="00AC56E7"/>
    <w:rsid w:val="00AC6100"/>
    <w:rsid w:val="00AC65B1"/>
    <w:rsid w:val="00AC6ADB"/>
    <w:rsid w:val="00AD017F"/>
    <w:rsid w:val="00AD0C88"/>
    <w:rsid w:val="00AD16E5"/>
    <w:rsid w:val="00AD6778"/>
    <w:rsid w:val="00AD6E43"/>
    <w:rsid w:val="00AD72D6"/>
    <w:rsid w:val="00AD7349"/>
    <w:rsid w:val="00AD78FF"/>
    <w:rsid w:val="00AE0063"/>
    <w:rsid w:val="00AE0AFA"/>
    <w:rsid w:val="00AE17F5"/>
    <w:rsid w:val="00AE215F"/>
    <w:rsid w:val="00AE3B0C"/>
    <w:rsid w:val="00AE3F1B"/>
    <w:rsid w:val="00AE4196"/>
    <w:rsid w:val="00AE5516"/>
    <w:rsid w:val="00AE596E"/>
    <w:rsid w:val="00AE6392"/>
    <w:rsid w:val="00AE709F"/>
    <w:rsid w:val="00AF020D"/>
    <w:rsid w:val="00AF0303"/>
    <w:rsid w:val="00AF04F3"/>
    <w:rsid w:val="00AF173C"/>
    <w:rsid w:val="00AF21A9"/>
    <w:rsid w:val="00AF3158"/>
    <w:rsid w:val="00AF3440"/>
    <w:rsid w:val="00AF48ED"/>
    <w:rsid w:val="00AF6D55"/>
    <w:rsid w:val="00AF7BE5"/>
    <w:rsid w:val="00B0157D"/>
    <w:rsid w:val="00B01E83"/>
    <w:rsid w:val="00B03005"/>
    <w:rsid w:val="00B04669"/>
    <w:rsid w:val="00B05783"/>
    <w:rsid w:val="00B05E07"/>
    <w:rsid w:val="00B0795B"/>
    <w:rsid w:val="00B10A14"/>
    <w:rsid w:val="00B1235C"/>
    <w:rsid w:val="00B14002"/>
    <w:rsid w:val="00B15483"/>
    <w:rsid w:val="00B15EB9"/>
    <w:rsid w:val="00B16081"/>
    <w:rsid w:val="00B162E1"/>
    <w:rsid w:val="00B173B6"/>
    <w:rsid w:val="00B17AB2"/>
    <w:rsid w:val="00B17DF0"/>
    <w:rsid w:val="00B208CE"/>
    <w:rsid w:val="00B23892"/>
    <w:rsid w:val="00B2396D"/>
    <w:rsid w:val="00B23B08"/>
    <w:rsid w:val="00B25EAC"/>
    <w:rsid w:val="00B2789B"/>
    <w:rsid w:val="00B27979"/>
    <w:rsid w:val="00B27B11"/>
    <w:rsid w:val="00B35FB6"/>
    <w:rsid w:val="00B36287"/>
    <w:rsid w:val="00B371AC"/>
    <w:rsid w:val="00B40D03"/>
    <w:rsid w:val="00B40F68"/>
    <w:rsid w:val="00B41AB1"/>
    <w:rsid w:val="00B42D7C"/>
    <w:rsid w:val="00B42F0F"/>
    <w:rsid w:val="00B435FA"/>
    <w:rsid w:val="00B45079"/>
    <w:rsid w:val="00B45738"/>
    <w:rsid w:val="00B45CAE"/>
    <w:rsid w:val="00B465E2"/>
    <w:rsid w:val="00B502A2"/>
    <w:rsid w:val="00B522D5"/>
    <w:rsid w:val="00B544EE"/>
    <w:rsid w:val="00B5538B"/>
    <w:rsid w:val="00B55FD9"/>
    <w:rsid w:val="00B563A2"/>
    <w:rsid w:val="00B5643C"/>
    <w:rsid w:val="00B566C9"/>
    <w:rsid w:val="00B57955"/>
    <w:rsid w:val="00B57E12"/>
    <w:rsid w:val="00B60749"/>
    <w:rsid w:val="00B61738"/>
    <w:rsid w:val="00B61AA8"/>
    <w:rsid w:val="00B61CF8"/>
    <w:rsid w:val="00B634A6"/>
    <w:rsid w:val="00B6389D"/>
    <w:rsid w:val="00B63B17"/>
    <w:rsid w:val="00B63DCE"/>
    <w:rsid w:val="00B6491E"/>
    <w:rsid w:val="00B70763"/>
    <w:rsid w:val="00B71F64"/>
    <w:rsid w:val="00B72EA0"/>
    <w:rsid w:val="00B73465"/>
    <w:rsid w:val="00B75509"/>
    <w:rsid w:val="00B75C26"/>
    <w:rsid w:val="00B76A21"/>
    <w:rsid w:val="00B77491"/>
    <w:rsid w:val="00B77B97"/>
    <w:rsid w:val="00B8077A"/>
    <w:rsid w:val="00B8079D"/>
    <w:rsid w:val="00B808DE"/>
    <w:rsid w:val="00B80F83"/>
    <w:rsid w:val="00B8147D"/>
    <w:rsid w:val="00B81ACA"/>
    <w:rsid w:val="00B81E58"/>
    <w:rsid w:val="00B831FF"/>
    <w:rsid w:val="00B84205"/>
    <w:rsid w:val="00B84AB9"/>
    <w:rsid w:val="00B85027"/>
    <w:rsid w:val="00B86BF8"/>
    <w:rsid w:val="00B90D88"/>
    <w:rsid w:val="00B90E9B"/>
    <w:rsid w:val="00B925EA"/>
    <w:rsid w:val="00B92D7F"/>
    <w:rsid w:val="00B94886"/>
    <w:rsid w:val="00B94FCB"/>
    <w:rsid w:val="00B97231"/>
    <w:rsid w:val="00BA068C"/>
    <w:rsid w:val="00BA0FD7"/>
    <w:rsid w:val="00BA0FE0"/>
    <w:rsid w:val="00BA1F50"/>
    <w:rsid w:val="00BA2510"/>
    <w:rsid w:val="00BA3466"/>
    <w:rsid w:val="00BA39B3"/>
    <w:rsid w:val="00BA41F9"/>
    <w:rsid w:val="00BA43A6"/>
    <w:rsid w:val="00BA45CD"/>
    <w:rsid w:val="00BA59D0"/>
    <w:rsid w:val="00BA5B63"/>
    <w:rsid w:val="00BA6ADE"/>
    <w:rsid w:val="00BA6E4B"/>
    <w:rsid w:val="00BB0793"/>
    <w:rsid w:val="00BB0A7B"/>
    <w:rsid w:val="00BB155B"/>
    <w:rsid w:val="00BB16C5"/>
    <w:rsid w:val="00BB2185"/>
    <w:rsid w:val="00BB25C4"/>
    <w:rsid w:val="00BB3BF8"/>
    <w:rsid w:val="00BB6317"/>
    <w:rsid w:val="00BC0638"/>
    <w:rsid w:val="00BC06D5"/>
    <w:rsid w:val="00BC081B"/>
    <w:rsid w:val="00BC4D44"/>
    <w:rsid w:val="00BC5331"/>
    <w:rsid w:val="00BC60A7"/>
    <w:rsid w:val="00BC630B"/>
    <w:rsid w:val="00BC7A1C"/>
    <w:rsid w:val="00BD01DC"/>
    <w:rsid w:val="00BD0476"/>
    <w:rsid w:val="00BD1823"/>
    <w:rsid w:val="00BD2392"/>
    <w:rsid w:val="00BD2602"/>
    <w:rsid w:val="00BD4B01"/>
    <w:rsid w:val="00BD5EEA"/>
    <w:rsid w:val="00BD6F5F"/>
    <w:rsid w:val="00BD70BA"/>
    <w:rsid w:val="00BD79F2"/>
    <w:rsid w:val="00BE14E3"/>
    <w:rsid w:val="00BE1975"/>
    <w:rsid w:val="00BE25A5"/>
    <w:rsid w:val="00BE2B3E"/>
    <w:rsid w:val="00BE2D23"/>
    <w:rsid w:val="00BE31E3"/>
    <w:rsid w:val="00BE34B4"/>
    <w:rsid w:val="00BE38AC"/>
    <w:rsid w:val="00BE4A25"/>
    <w:rsid w:val="00BE55AD"/>
    <w:rsid w:val="00BE5734"/>
    <w:rsid w:val="00BE6100"/>
    <w:rsid w:val="00BE6A25"/>
    <w:rsid w:val="00BE717D"/>
    <w:rsid w:val="00BF0CF3"/>
    <w:rsid w:val="00BF0F34"/>
    <w:rsid w:val="00BF1DE5"/>
    <w:rsid w:val="00BF236F"/>
    <w:rsid w:val="00BF3654"/>
    <w:rsid w:val="00BF415A"/>
    <w:rsid w:val="00BF43B9"/>
    <w:rsid w:val="00BF5784"/>
    <w:rsid w:val="00BF5F7D"/>
    <w:rsid w:val="00BF79B3"/>
    <w:rsid w:val="00C035E0"/>
    <w:rsid w:val="00C0459B"/>
    <w:rsid w:val="00C05A78"/>
    <w:rsid w:val="00C06C8F"/>
    <w:rsid w:val="00C0716A"/>
    <w:rsid w:val="00C1012C"/>
    <w:rsid w:val="00C114AB"/>
    <w:rsid w:val="00C12575"/>
    <w:rsid w:val="00C137A3"/>
    <w:rsid w:val="00C140EB"/>
    <w:rsid w:val="00C149E6"/>
    <w:rsid w:val="00C14A53"/>
    <w:rsid w:val="00C157B8"/>
    <w:rsid w:val="00C1717D"/>
    <w:rsid w:val="00C17C20"/>
    <w:rsid w:val="00C21191"/>
    <w:rsid w:val="00C2280B"/>
    <w:rsid w:val="00C24C30"/>
    <w:rsid w:val="00C24F81"/>
    <w:rsid w:val="00C260F6"/>
    <w:rsid w:val="00C26868"/>
    <w:rsid w:val="00C26F3C"/>
    <w:rsid w:val="00C27CE4"/>
    <w:rsid w:val="00C305C9"/>
    <w:rsid w:val="00C31261"/>
    <w:rsid w:val="00C32164"/>
    <w:rsid w:val="00C326C9"/>
    <w:rsid w:val="00C32B5B"/>
    <w:rsid w:val="00C3492C"/>
    <w:rsid w:val="00C354D7"/>
    <w:rsid w:val="00C3550D"/>
    <w:rsid w:val="00C35728"/>
    <w:rsid w:val="00C36276"/>
    <w:rsid w:val="00C40939"/>
    <w:rsid w:val="00C40A0E"/>
    <w:rsid w:val="00C411F3"/>
    <w:rsid w:val="00C414C0"/>
    <w:rsid w:val="00C43310"/>
    <w:rsid w:val="00C4549F"/>
    <w:rsid w:val="00C45C87"/>
    <w:rsid w:val="00C46842"/>
    <w:rsid w:val="00C500AE"/>
    <w:rsid w:val="00C5030F"/>
    <w:rsid w:val="00C5101B"/>
    <w:rsid w:val="00C51A27"/>
    <w:rsid w:val="00C5260C"/>
    <w:rsid w:val="00C5336E"/>
    <w:rsid w:val="00C537A0"/>
    <w:rsid w:val="00C5387F"/>
    <w:rsid w:val="00C553C0"/>
    <w:rsid w:val="00C55CAE"/>
    <w:rsid w:val="00C57CC0"/>
    <w:rsid w:val="00C60596"/>
    <w:rsid w:val="00C60B7F"/>
    <w:rsid w:val="00C60D6E"/>
    <w:rsid w:val="00C625DD"/>
    <w:rsid w:val="00C635CC"/>
    <w:rsid w:val="00C64D8C"/>
    <w:rsid w:val="00C65ECF"/>
    <w:rsid w:val="00C67669"/>
    <w:rsid w:val="00C67D92"/>
    <w:rsid w:val="00C70425"/>
    <w:rsid w:val="00C71E3E"/>
    <w:rsid w:val="00C72933"/>
    <w:rsid w:val="00C76635"/>
    <w:rsid w:val="00C76834"/>
    <w:rsid w:val="00C76BFA"/>
    <w:rsid w:val="00C80871"/>
    <w:rsid w:val="00C81247"/>
    <w:rsid w:val="00C814C8"/>
    <w:rsid w:val="00C82A85"/>
    <w:rsid w:val="00C83257"/>
    <w:rsid w:val="00C83B7C"/>
    <w:rsid w:val="00C8498C"/>
    <w:rsid w:val="00C85041"/>
    <w:rsid w:val="00C85EBA"/>
    <w:rsid w:val="00C86036"/>
    <w:rsid w:val="00C873B9"/>
    <w:rsid w:val="00C87A2B"/>
    <w:rsid w:val="00C917CE"/>
    <w:rsid w:val="00C92496"/>
    <w:rsid w:val="00C93993"/>
    <w:rsid w:val="00C977D2"/>
    <w:rsid w:val="00C97862"/>
    <w:rsid w:val="00C97A62"/>
    <w:rsid w:val="00C97B2C"/>
    <w:rsid w:val="00CA162B"/>
    <w:rsid w:val="00CA167A"/>
    <w:rsid w:val="00CA1F48"/>
    <w:rsid w:val="00CA2405"/>
    <w:rsid w:val="00CA29F4"/>
    <w:rsid w:val="00CA2F6C"/>
    <w:rsid w:val="00CA40B1"/>
    <w:rsid w:val="00CA40F8"/>
    <w:rsid w:val="00CA45CA"/>
    <w:rsid w:val="00CA59BA"/>
    <w:rsid w:val="00CA659E"/>
    <w:rsid w:val="00CB0882"/>
    <w:rsid w:val="00CB0E9E"/>
    <w:rsid w:val="00CB4DCC"/>
    <w:rsid w:val="00CB525B"/>
    <w:rsid w:val="00CC08EE"/>
    <w:rsid w:val="00CC0DAE"/>
    <w:rsid w:val="00CC12C1"/>
    <w:rsid w:val="00CC1566"/>
    <w:rsid w:val="00CC1CA9"/>
    <w:rsid w:val="00CC2DA5"/>
    <w:rsid w:val="00CC3521"/>
    <w:rsid w:val="00CC4088"/>
    <w:rsid w:val="00CC4BD3"/>
    <w:rsid w:val="00CC68E4"/>
    <w:rsid w:val="00CD14A5"/>
    <w:rsid w:val="00CD1ADD"/>
    <w:rsid w:val="00CD244E"/>
    <w:rsid w:val="00CD2A5A"/>
    <w:rsid w:val="00CD33C4"/>
    <w:rsid w:val="00CD42AA"/>
    <w:rsid w:val="00CD4D02"/>
    <w:rsid w:val="00CD7BA6"/>
    <w:rsid w:val="00CE0214"/>
    <w:rsid w:val="00CE04E9"/>
    <w:rsid w:val="00CE0D43"/>
    <w:rsid w:val="00CE0EF3"/>
    <w:rsid w:val="00CE106B"/>
    <w:rsid w:val="00CE135B"/>
    <w:rsid w:val="00CE17DD"/>
    <w:rsid w:val="00CE3A65"/>
    <w:rsid w:val="00CE46F3"/>
    <w:rsid w:val="00CE58B6"/>
    <w:rsid w:val="00CE5939"/>
    <w:rsid w:val="00CE5E45"/>
    <w:rsid w:val="00CE63D6"/>
    <w:rsid w:val="00CE7CCE"/>
    <w:rsid w:val="00CF0F0D"/>
    <w:rsid w:val="00CF1619"/>
    <w:rsid w:val="00CF3034"/>
    <w:rsid w:val="00CF6D9E"/>
    <w:rsid w:val="00CF6F27"/>
    <w:rsid w:val="00CF7DD1"/>
    <w:rsid w:val="00CF7FD2"/>
    <w:rsid w:val="00D001E8"/>
    <w:rsid w:val="00D0034E"/>
    <w:rsid w:val="00D00BB7"/>
    <w:rsid w:val="00D01182"/>
    <w:rsid w:val="00D013C3"/>
    <w:rsid w:val="00D0222D"/>
    <w:rsid w:val="00D02990"/>
    <w:rsid w:val="00D03269"/>
    <w:rsid w:val="00D036C4"/>
    <w:rsid w:val="00D04879"/>
    <w:rsid w:val="00D0487B"/>
    <w:rsid w:val="00D04EE4"/>
    <w:rsid w:val="00D05FEB"/>
    <w:rsid w:val="00D0745C"/>
    <w:rsid w:val="00D0786C"/>
    <w:rsid w:val="00D078D4"/>
    <w:rsid w:val="00D10063"/>
    <w:rsid w:val="00D1170B"/>
    <w:rsid w:val="00D13BD0"/>
    <w:rsid w:val="00D16326"/>
    <w:rsid w:val="00D203E2"/>
    <w:rsid w:val="00D20CC8"/>
    <w:rsid w:val="00D23467"/>
    <w:rsid w:val="00D245F8"/>
    <w:rsid w:val="00D24BC5"/>
    <w:rsid w:val="00D252CF"/>
    <w:rsid w:val="00D256BC"/>
    <w:rsid w:val="00D303DB"/>
    <w:rsid w:val="00D30ABD"/>
    <w:rsid w:val="00D32A67"/>
    <w:rsid w:val="00D33489"/>
    <w:rsid w:val="00D34510"/>
    <w:rsid w:val="00D356A8"/>
    <w:rsid w:val="00D3707B"/>
    <w:rsid w:val="00D37163"/>
    <w:rsid w:val="00D40A28"/>
    <w:rsid w:val="00D411D1"/>
    <w:rsid w:val="00D41F3B"/>
    <w:rsid w:val="00D425E4"/>
    <w:rsid w:val="00D436CE"/>
    <w:rsid w:val="00D43D32"/>
    <w:rsid w:val="00D474AF"/>
    <w:rsid w:val="00D4758C"/>
    <w:rsid w:val="00D50002"/>
    <w:rsid w:val="00D50825"/>
    <w:rsid w:val="00D51589"/>
    <w:rsid w:val="00D516D2"/>
    <w:rsid w:val="00D51F6D"/>
    <w:rsid w:val="00D53A74"/>
    <w:rsid w:val="00D542FA"/>
    <w:rsid w:val="00D549E1"/>
    <w:rsid w:val="00D54AA1"/>
    <w:rsid w:val="00D54D3B"/>
    <w:rsid w:val="00D565A0"/>
    <w:rsid w:val="00D569C7"/>
    <w:rsid w:val="00D57339"/>
    <w:rsid w:val="00D57F00"/>
    <w:rsid w:val="00D620E4"/>
    <w:rsid w:val="00D632F3"/>
    <w:rsid w:val="00D634D9"/>
    <w:rsid w:val="00D6377E"/>
    <w:rsid w:val="00D64651"/>
    <w:rsid w:val="00D64A52"/>
    <w:rsid w:val="00D6588F"/>
    <w:rsid w:val="00D65891"/>
    <w:rsid w:val="00D6796E"/>
    <w:rsid w:val="00D7122C"/>
    <w:rsid w:val="00D71FE3"/>
    <w:rsid w:val="00D72B82"/>
    <w:rsid w:val="00D72E34"/>
    <w:rsid w:val="00D748ED"/>
    <w:rsid w:val="00D74E58"/>
    <w:rsid w:val="00D753E8"/>
    <w:rsid w:val="00D757A0"/>
    <w:rsid w:val="00D760B6"/>
    <w:rsid w:val="00D76794"/>
    <w:rsid w:val="00D76C93"/>
    <w:rsid w:val="00D76EB9"/>
    <w:rsid w:val="00D77BB8"/>
    <w:rsid w:val="00D805B7"/>
    <w:rsid w:val="00D821C1"/>
    <w:rsid w:val="00D82DFA"/>
    <w:rsid w:val="00D83F34"/>
    <w:rsid w:val="00D8500A"/>
    <w:rsid w:val="00D8533B"/>
    <w:rsid w:val="00D867E1"/>
    <w:rsid w:val="00D86BF7"/>
    <w:rsid w:val="00D87420"/>
    <w:rsid w:val="00D876E2"/>
    <w:rsid w:val="00D87B49"/>
    <w:rsid w:val="00D91678"/>
    <w:rsid w:val="00D93E27"/>
    <w:rsid w:val="00D941E7"/>
    <w:rsid w:val="00D94352"/>
    <w:rsid w:val="00D95096"/>
    <w:rsid w:val="00D95A67"/>
    <w:rsid w:val="00D95C03"/>
    <w:rsid w:val="00D95E43"/>
    <w:rsid w:val="00D9637E"/>
    <w:rsid w:val="00D969C6"/>
    <w:rsid w:val="00D9749A"/>
    <w:rsid w:val="00D97C56"/>
    <w:rsid w:val="00DA03B3"/>
    <w:rsid w:val="00DA0940"/>
    <w:rsid w:val="00DA116F"/>
    <w:rsid w:val="00DA1249"/>
    <w:rsid w:val="00DA194A"/>
    <w:rsid w:val="00DA39D4"/>
    <w:rsid w:val="00DA504E"/>
    <w:rsid w:val="00DA5133"/>
    <w:rsid w:val="00DA51D3"/>
    <w:rsid w:val="00DA5F84"/>
    <w:rsid w:val="00DA60E9"/>
    <w:rsid w:val="00DA6A7B"/>
    <w:rsid w:val="00DA7B22"/>
    <w:rsid w:val="00DB0491"/>
    <w:rsid w:val="00DB280E"/>
    <w:rsid w:val="00DB2FB7"/>
    <w:rsid w:val="00DB3290"/>
    <w:rsid w:val="00DB3A8F"/>
    <w:rsid w:val="00DB529D"/>
    <w:rsid w:val="00DB782F"/>
    <w:rsid w:val="00DC13CE"/>
    <w:rsid w:val="00DC2C3D"/>
    <w:rsid w:val="00DC324E"/>
    <w:rsid w:val="00DC431F"/>
    <w:rsid w:val="00DC4EE2"/>
    <w:rsid w:val="00DC56E4"/>
    <w:rsid w:val="00DC62D0"/>
    <w:rsid w:val="00DC6BB2"/>
    <w:rsid w:val="00DC6D85"/>
    <w:rsid w:val="00DC71E7"/>
    <w:rsid w:val="00DC7DB9"/>
    <w:rsid w:val="00DD1436"/>
    <w:rsid w:val="00DD1A52"/>
    <w:rsid w:val="00DD2A63"/>
    <w:rsid w:val="00DD2C74"/>
    <w:rsid w:val="00DD5E0B"/>
    <w:rsid w:val="00DD6349"/>
    <w:rsid w:val="00DE0834"/>
    <w:rsid w:val="00DE0AD1"/>
    <w:rsid w:val="00DE0E99"/>
    <w:rsid w:val="00DE184D"/>
    <w:rsid w:val="00DE2B43"/>
    <w:rsid w:val="00DE2B92"/>
    <w:rsid w:val="00DE2E47"/>
    <w:rsid w:val="00DE3440"/>
    <w:rsid w:val="00DE34C6"/>
    <w:rsid w:val="00DE4AFA"/>
    <w:rsid w:val="00DE631B"/>
    <w:rsid w:val="00DE6442"/>
    <w:rsid w:val="00DE65F7"/>
    <w:rsid w:val="00DE66DA"/>
    <w:rsid w:val="00DE683E"/>
    <w:rsid w:val="00DE75C9"/>
    <w:rsid w:val="00DE7B31"/>
    <w:rsid w:val="00DF0559"/>
    <w:rsid w:val="00DF07C0"/>
    <w:rsid w:val="00DF090D"/>
    <w:rsid w:val="00DF2E52"/>
    <w:rsid w:val="00DF30E4"/>
    <w:rsid w:val="00DF31A9"/>
    <w:rsid w:val="00DF3D02"/>
    <w:rsid w:val="00DF4340"/>
    <w:rsid w:val="00DF4652"/>
    <w:rsid w:val="00DF543C"/>
    <w:rsid w:val="00DF56A4"/>
    <w:rsid w:val="00DF6467"/>
    <w:rsid w:val="00E03978"/>
    <w:rsid w:val="00E04435"/>
    <w:rsid w:val="00E050FE"/>
    <w:rsid w:val="00E128CC"/>
    <w:rsid w:val="00E133F3"/>
    <w:rsid w:val="00E13D9D"/>
    <w:rsid w:val="00E13ED5"/>
    <w:rsid w:val="00E1503C"/>
    <w:rsid w:val="00E155D8"/>
    <w:rsid w:val="00E16331"/>
    <w:rsid w:val="00E208D3"/>
    <w:rsid w:val="00E210A8"/>
    <w:rsid w:val="00E21761"/>
    <w:rsid w:val="00E21D52"/>
    <w:rsid w:val="00E2232B"/>
    <w:rsid w:val="00E229C9"/>
    <w:rsid w:val="00E24500"/>
    <w:rsid w:val="00E248AD"/>
    <w:rsid w:val="00E25102"/>
    <w:rsid w:val="00E2512E"/>
    <w:rsid w:val="00E264B8"/>
    <w:rsid w:val="00E26B87"/>
    <w:rsid w:val="00E26D93"/>
    <w:rsid w:val="00E27904"/>
    <w:rsid w:val="00E27C8D"/>
    <w:rsid w:val="00E27E40"/>
    <w:rsid w:val="00E3050E"/>
    <w:rsid w:val="00E307CB"/>
    <w:rsid w:val="00E30B51"/>
    <w:rsid w:val="00E317CD"/>
    <w:rsid w:val="00E31951"/>
    <w:rsid w:val="00E31D23"/>
    <w:rsid w:val="00E327FB"/>
    <w:rsid w:val="00E34823"/>
    <w:rsid w:val="00E349AD"/>
    <w:rsid w:val="00E360B8"/>
    <w:rsid w:val="00E3620F"/>
    <w:rsid w:val="00E374EC"/>
    <w:rsid w:val="00E40579"/>
    <w:rsid w:val="00E40C44"/>
    <w:rsid w:val="00E41A6F"/>
    <w:rsid w:val="00E4320D"/>
    <w:rsid w:val="00E434F7"/>
    <w:rsid w:val="00E437C9"/>
    <w:rsid w:val="00E44E9B"/>
    <w:rsid w:val="00E455D3"/>
    <w:rsid w:val="00E45D85"/>
    <w:rsid w:val="00E463A7"/>
    <w:rsid w:val="00E464AF"/>
    <w:rsid w:val="00E4662E"/>
    <w:rsid w:val="00E4668B"/>
    <w:rsid w:val="00E469FB"/>
    <w:rsid w:val="00E506F5"/>
    <w:rsid w:val="00E50E74"/>
    <w:rsid w:val="00E52611"/>
    <w:rsid w:val="00E52FD3"/>
    <w:rsid w:val="00E532B3"/>
    <w:rsid w:val="00E53EE5"/>
    <w:rsid w:val="00E54897"/>
    <w:rsid w:val="00E553A4"/>
    <w:rsid w:val="00E56825"/>
    <w:rsid w:val="00E57973"/>
    <w:rsid w:val="00E6125B"/>
    <w:rsid w:val="00E616AE"/>
    <w:rsid w:val="00E61BF0"/>
    <w:rsid w:val="00E630BE"/>
    <w:rsid w:val="00E63163"/>
    <w:rsid w:val="00E645DE"/>
    <w:rsid w:val="00E65299"/>
    <w:rsid w:val="00E6652F"/>
    <w:rsid w:val="00E67627"/>
    <w:rsid w:val="00E678DE"/>
    <w:rsid w:val="00E70BF8"/>
    <w:rsid w:val="00E718DB"/>
    <w:rsid w:val="00E73F34"/>
    <w:rsid w:val="00E761B9"/>
    <w:rsid w:val="00E76486"/>
    <w:rsid w:val="00E76590"/>
    <w:rsid w:val="00E76F07"/>
    <w:rsid w:val="00E7771E"/>
    <w:rsid w:val="00E77C44"/>
    <w:rsid w:val="00E82A67"/>
    <w:rsid w:val="00E82D54"/>
    <w:rsid w:val="00E842A8"/>
    <w:rsid w:val="00E84CE2"/>
    <w:rsid w:val="00E85D97"/>
    <w:rsid w:val="00E873C3"/>
    <w:rsid w:val="00E90A90"/>
    <w:rsid w:val="00E91397"/>
    <w:rsid w:val="00E91F09"/>
    <w:rsid w:val="00E92D38"/>
    <w:rsid w:val="00E940CB"/>
    <w:rsid w:val="00E96633"/>
    <w:rsid w:val="00E97B0B"/>
    <w:rsid w:val="00EA00CB"/>
    <w:rsid w:val="00EA23F8"/>
    <w:rsid w:val="00EA2DB5"/>
    <w:rsid w:val="00EA7C92"/>
    <w:rsid w:val="00EA7E22"/>
    <w:rsid w:val="00EA7E24"/>
    <w:rsid w:val="00EB13D5"/>
    <w:rsid w:val="00EB1634"/>
    <w:rsid w:val="00EB1EAA"/>
    <w:rsid w:val="00EB2519"/>
    <w:rsid w:val="00EB258B"/>
    <w:rsid w:val="00EB3179"/>
    <w:rsid w:val="00EB31AD"/>
    <w:rsid w:val="00EB37CA"/>
    <w:rsid w:val="00EB400D"/>
    <w:rsid w:val="00EB42C1"/>
    <w:rsid w:val="00EB4588"/>
    <w:rsid w:val="00EB4E9F"/>
    <w:rsid w:val="00EB5C57"/>
    <w:rsid w:val="00EB620E"/>
    <w:rsid w:val="00EB683C"/>
    <w:rsid w:val="00EB6FA6"/>
    <w:rsid w:val="00EB74BC"/>
    <w:rsid w:val="00EC0C42"/>
    <w:rsid w:val="00EC19A3"/>
    <w:rsid w:val="00EC5168"/>
    <w:rsid w:val="00EC524A"/>
    <w:rsid w:val="00EC5E9D"/>
    <w:rsid w:val="00EC60DC"/>
    <w:rsid w:val="00EC67A3"/>
    <w:rsid w:val="00EC6C7A"/>
    <w:rsid w:val="00ED1753"/>
    <w:rsid w:val="00ED3DFE"/>
    <w:rsid w:val="00ED46F1"/>
    <w:rsid w:val="00ED6E68"/>
    <w:rsid w:val="00ED77BD"/>
    <w:rsid w:val="00ED77FE"/>
    <w:rsid w:val="00EE0FC0"/>
    <w:rsid w:val="00EE31CD"/>
    <w:rsid w:val="00EE3E96"/>
    <w:rsid w:val="00EE4236"/>
    <w:rsid w:val="00EE4C2B"/>
    <w:rsid w:val="00EE4FCD"/>
    <w:rsid w:val="00EE51DE"/>
    <w:rsid w:val="00EE65C7"/>
    <w:rsid w:val="00EE7590"/>
    <w:rsid w:val="00EE7AC3"/>
    <w:rsid w:val="00EF033A"/>
    <w:rsid w:val="00EF172F"/>
    <w:rsid w:val="00EF40A8"/>
    <w:rsid w:val="00EF4427"/>
    <w:rsid w:val="00EF45A3"/>
    <w:rsid w:val="00EF49E7"/>
    <w:rsid w:val="00EF5777"/>
    <w:rsid w:val="00EF5D40"/>
    <w:rsid w:val="00EF67BE"/>
    <w:rsid w:val="00EF6B1C"/>
    <w:rsid w:val="00EF6C91"/>
    <w:rsid w:val="00EF7D52"/>
    <w:rsid w:val="00F0015E"/>
    <w:rsid w:val="00F0132C"/>
    <w:rsid w:val="00F0133B"/>
    <w:rsid w:val="00F015E1"/>
    <w:rsid w:val="00F01635"/>
    <w:rsid w:val="00F018F7"/>
    <w:rsid w:val="00F01C70"/>
    <w:rsid w:val="00F03CF3"/>
    <w:rsid w:val="00F0488B"/>
    <w:rsid w:val="00F05C19"/>
    <w:rsid w:val="00F0624A"/>
    <w:rsid w:val="00F071DC"/>
    <w:rsid w:val="00F07DA4"/>
    <w:rsid w:val="00F10943"/>
    <w:rsid w:val="00F10D52"/>
    <w:rsid w:val="00F1217C"/>
    <w:rsid w:val="00F12DB4"/>
    <w:rsid w:val="00F12F08"/>
    <w:rsid w:val="00F13441"/>
    <w:rsid w:val="00F135A5"/>
    <w:rsid w:val="00F13CFC"/>
    <w:rsid w:val="00F13DA3"/>
    <w:rsid w:val="00F1497B"/>
    <w:rsid w:val="00F14E67"/>
    <w:rsid w:val="00F1508A"/>
    <w:rsid w:val="00F159E6"/>
    <w:rsid w:val="00F16F05"/>
    <w:rsid w:val="00F1729C"/>
    <w:rsid w:val="00F17CA4"/>
    <w:rsid w:val="00F20AAF"/>
    <w:rsid w:val="00F22B3C"/>
    <w:rsid w:val="00F23C73"/>
    <w:rsid w:val="00F2796A"/>
    <w:rsid w:val="00F30296"/>
    <w:rsid w:val="00F30724"/>
    <w:rsid w:val="00F30803"/>
    <w:rsid w:val="00F30F24"/>
    <w:rsid w:val="00F30FBF"/>
    <w:rsid w:val="00F31B85"/>
    <w:rsid w:val="00F32059"/>
    <w:rsid w:val="00F3206E"/>
    <w:rsid w:val="00F32070"/>
    <w:rsid w:val="00F32886"/>
    <w:rsid w:val="00F3288B"/>
    <w:rsid w:val="00F32DCA"/>
    <w:rsid w:val="00F33905"/>
    <w:rsid w:val="00F35504"/>
    <w:rsid w:val="00F35BCF"/>
    <w:rsid w:val="00F35E74"/>
    <w:rsid w:val="00F36CF9"/>
    <w:rsid w:val="00F36DBF"/>
    <w:rsid w:val="00F37648"/>
    <w:rsid w:val="00F37F05"/>
    <w:rsid w:val="00F40B9F"/>
    <w:rsid w:val="00F41DFB"/>
    <w:rsid w:val="00F44EEB"/>
    <w:rsid w:val="00F453D5"/>
    <w:rsid w:val="00F45C04"/>
    <w:rsid w:val="00F504C1"/>
    <w:rsid w:val="00F517D2"/>
    <w:rsid w:val="00F51B60"/>
    <w:rsid w:val="00F522A6"/>
    <w:rsid w:val="00F530BE"/>
    <w:rsid w:val="00F53637"/>
    <w:rsid w:val="00F53A10"/>
    <w:rsid w:val="00F54DC6"/>
    <w:rsid w:val="00F55054"/>
    <w:rsid w:val="00F60919"/>
    <w:rsid w:val="00F60A49"/>
    <w:rsid w:val="00F60BC8"/>
    <w:rsid w:val="00F610E9"/>
    <w:rsid w:val="00F61FA6"/>
    <w:rsid w:val="00F622AB"/>
    <w:rsid w:val="00F6420F"/>
    <w:rsid w:val="00F64365"/>
    <w:rsid w:val="00F65626"/>
    <w:rsid w:val="00F6597C"/>
    <w:rsid w:val="00F65EB0"/>
    <w:rsid w:val="00F7097B"/>
    <w:rsid w:val="00F71E71"/>
    <w:rsid w:val="00F7259B"/>
    <w:rsid w:val="00F72972"/>
    <w:rsid w:val="00F72C60"/>
    <w:rsid w:val="00F732B1"/>
    <w:rsid w:val="00F733EC"/>
    <w:rsid w:val="00F7422F"/>
    <w:rsid w:val="00F77253"/>
    <w:rsid w:val="00F80991"/>
    <w:rsid w:val="00F80ADC"/>
    <w:rsid w:val="00F80B11"/>
    <w:rsid w:val="00F81864"/>
    <w:rsid w:val="00F81B37"/>
    <w:rsid w:val="00F82AD3"/>
    <w:rsid w:val="00F82B74"/>
    <w:rsid w:val="00F83020"/>
    <w:rsid w:val="00F83600"/>
    <w:rsid w:val="00F84340"/>
    <w:rsid w:val="00F849F7"/>
    <w:rsid w:val="00F8514B"/>
    <w:rsid w:val="00F85366"/>
    <w:rsid w:val="00F8581D"/>
    <w:rsid w:val="00F8584D"/>
    <w:rsid w:val="00F85ABE"/>
    <w:rsid w:val="00F86FC2"/>
    <w:rsid w:val="00F87644"/>
    <w:rsid w:val="00F87645"/>
    <w:rsid w:val="00F87DC3"/>
    <w:rsid w:val="00F87E71"/>
    <w:rsid w:val="00F92165"/>
    <w:rsid w:val="00F92AFC"/>
    <w:rsid w:val="00F9386E"/>
    <w:rsid w:val="00F95C26"/>
    <w:rsid w:val="00F96817"/>
    <w:rsid w:val="00F96827"/>
    <w:rsid w:val="00F96977"/>
    <w:rsid w:val="00F975B1"/>
    <w:rsid w:val="00F97A4E"/>
    <w:rsid w:val="00F97B8A"/>
    <w:rsid w:val="00FA0AF7"/>
    <w:rsid w:val="00FA107F"/>
    <w:rsid w:val="00FA11D8"/>
    <w:rsid w:val="00FA1BDF"/>
    <w:rsid w:val="00FA2A0C"/>
    <w:rsid w:val="00FA4C62"/>
    <w:rsid w:val="00FA4EBA"/>
    <w:rsid w:val="00FA5718"/>
    <w:rsid w:val="00FA5943"/>
    <w:rsid w:val="00FA6FD3"/>
    <w:rsid w:val="00FB1B51"/>
    <w:rsid w:val="00FB4C33"/>
    <w:rsid w:val="00FB6158"/>
    <w:rsid w:val="00FC0073"/>
    <w:rsid w:val="00FC11FA"/>
    <w:rsid w:val="00FC20A5"/>
    <w:rsid w:val="00FC28CB"/>
    <w:rsid w:val="00FC487F"/>
    <w:rsid w:val="00FC4AEC"/>
    <w:rsid w:val="00FC7957"/>
    <w:rsid w:val="00FD12B7"/>
    <w:rsid w:val="00FD35A8"/>
    <w:rsid w:val="00FD4A1F"/>
    <w:rsid w:val="00FD581A"/>
    <w:rsid w:val="00FD5AC3"/>
    <w:rsid w:val="00FD699A"/>
    <w:rsid w:val="00FD6ED6"/>
    <w:rsid w:val="00FE00CE"/>
    <w:rsid w:val="00FE0E5F"/>
    <w:rsid w:val="00FE13A1"/>
    <w:rsid w:val="00FE1B8C"/>
    <w:rsid w:val="00FE2365"/>
    <w:rsid w:val="00FE268F"/>
    <w:rsid w:val="00FE5A5C"/>
    <w:rsid w:val="00FE5C32"/>
    <w:rsid w:val="00FE696D"/>
    <w:rsid w:val="00FE6CFA"/>
    <w:rsid w:val="00FE6FEC"/>
    <w:rsid w:val="00FE75FA"/>
    <w:rsid w:val="00FF06D9"/>
    <w:rsid w:val="00FF0BBD"/>
    <w:rsid w:val="00FF25BB"/>
    <w:rsid w:val="00FF2D45"/>
    <w:rsid w:val="00FF2F8D"/>
    <w:rsid w:val="00FF31D4"/>
    <w:rsid w:val="00FF6636"/>
    <w:rsid w:val="00FF6A60"/>
    <w:rsid w:val="00FF6AFE"/>
    <w:rsid w:val="00FF6F5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0C"/>
  </w:style>
  <w:style w:type="paragraph" w:styleId="Heading1">
    <w:name w:val="heading 1"/>
    <w:basedOn w:val="Normal"/>
    <w:next w:val="Normal"/>
    <w:link w:val="Heading1Char"/>
    <w:uiPriority w:val="9"/>
    <w:qFormat/>
    <w:rsid w:val="00E248AD"/>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248AD"/>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7B2C"/>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B1235C"/>
    <w:pPr>
      <w:keepNext/>
      <w:keepLines/>
      <w:ind w:left="216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BC06D5"/>
    <w:pPr>
      <w:keepNext/>
      <w:keepLines/>
      <w:ind w:left="14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86E"/>
    <w:pPr>
      <w:ind w:left="720"/>
      <w:contextualSpacing/>
    </w:pPr>
  </w:style>
  <w:style w:type="character" w:styleId="Emphasis">
    <w:name w:val="Emphasis"/>
    <w:basedOn w:val="DefaultParagraphFont"/>
    <w:uiPriority w:val="20"/>
    <w:qFormat/>
    <w:rsid w:val="005C741B"/>
    <w:rPr>
      <w:i/>
      <w:iCs/>
    </w:rPr>
  </w:style>
  <w:style w:type="paragraph" w:styleId="FootnoteText">
    <w:name w:val="footnote text"/>
    <w:basedOn w:val="Normal"/>
    <w:link w:val="FootnoteTextChar"/>
    <w:uiPriority w:val="99"/>
    <w:unhideWhenUsed/>
    <w:rsid w:val="00E469FB"/>
  </w:style>
  <w:style w:type="character" w:customStyle="1" w:styleId="FootnoteTextChar">
    <w:name w:val="Footnote Text Char"/>
    <w:basedOn w:val="DefaultParagraphFont"/>
    <w:link w:val="FootnoteText"/>
    <w:uiPriority w:val="99"/>
    <w:rsid w:val="00E469FB"/>
    <w:rPr>
      <w:sz w:val="20"/>
      <w:szCs w:val="20"/>
    </w:rPr>
  </w:style>
  <w:style w:type="character" w:styleId="FootnoteReference">
    <w:name w:val="footnote reference"/>
    <w:basedOn w:val="DefaultParagraphFont"/>
    <w:uiPriority w:val="99"/>
    <w:unhideWhenUsed/>
    <w:rsid w:val="00E469FB"/>
    <w:rPr>
      <w:vertAlign w:val="superscript"/>
    </w:rPr>
  </w:style>
  <w:style w:type="paragraph" w:styleId="Header">
    <w:name w:val="header"/>
    <w:basedOn w:val="Normal"/>
    <w:link w:val="HeaderChar"/>
    <w:uiPriority w:val="99"/>
    <w:unhideWhenUsed/>
    <w:rsid w:val="00AC0740"/>
    <w:pPr>
      <w:tabs>
        <w:tab w:val="center" w:pos="4680"/>
        <w:tab w:val="right" w:pos="9360"/>
      </w:tabs>
    </w:pPr>
  </w:style>
  <w:style w:type="character" w:customStyle="1" w:styleId="HeaderChar">
    <w:name w:val="Header Char"/>
    <w:basedOn w:val="DefaultParagraphFont"/>
    <w:link w:val="Header"/>
    <w:uiPriority w:val="99"/>
    <w:rsid w:val="00AC0740"/>
  </w:style>
  <w:style w:type="paragraph" w:styleId="Footer">
    <w:name w:val="footer"/>
    <w:basedOn w:val="Normal"/>
    <w:link w:val="FooterChar"/>
    <w:uiPriority w:val="99"/>
    <w:unhideWhenUsed/>
    <w:rsid w:val="00AC0740"/>
    <w:pPr>
      <w:tabs>
        <w:tab w:val="center" w:pos="4680"/>
        <w:tab w:val="right" w:pos="9360"/>
      </w:tabs>
    </w:pPr>
  </w:style>
  <w:style w:type="character" w:customStyle="1" w:styleId="FooterChar">
    <w:name w:val="Footer Char"/>
    <w:basedOn w:val="DefaultParagraphFont"/>
    <w:link w:val="Footer"/>
    <w:uiPriority w:val="99"/>
    <w:rsid w:val="00AC0740"/>
  </w:style>
  <w:style w:type="paragraph" w:styleId="NoSpacing">
    <w:name w:val="No Spacing"/>
    <w:link w:val="NoSpacingChar"/>
    <w:qFormat/>
    <w:rsid w:val="00E82A67"/>
    <w:rPr>
      <w:rFonts w:asciiTheme="minorHAnsi" w:hAnsiTheme="minorHAnsi" w:cstheme="minorBidi"/>
      <w:lang w:eastAsia="en-US"/>
    </w:rPr>
  </w:style>
  <w:style w:type="character" w:customStyle="1" w:styleId="NoSpacingChar">
    <w:name w:val="No Spacing Char"/>
    <w:basedOn w:val="DefaultParagraphFont"/>
    <w:link w:val="NoSpacing"/>
    <w:rsid w:val="00E82A67"/>
    <w:rPr>
      <w:rFonts w:asciiTheme="minorHAnsi" w:hAnsiTheme="minorHAnsi" w:cstheme="minorBidi"/>
      <w:lang w:eastAsia="en-US"/>
    </w:rPr>
  </w:style>
  <w:style w:type="paragraph" w:styleId="BalloonText">
    <w:name w:val="Balloon Text"/>
    <w:basedOn w:val="Normal"/>
    <w:link w:val="BalloonTextChar"/>
    <w:uiPriority w:val="99"/>
    <w:semiHidden/>
    <w:unhideWhenUsed/>
    <w:rsid w:val="00E82A67"/>
    <w:rPr>
      <w:rFonts w:ascii="Tahoma" w:hAnsi="Tahoma" w:cs="Tahoma"/>
      <w:sz w:val="16"/>
      <w:szCs w:val="16"/>
    </w:rPr>
  </w:style>
  <w:style w:type="character" w:customStyle="1" w:styleId="BalloonTextChar">
    <w:name w:val="Balloon Text Char"/>
    <w:basedOn w:val="DefaultParagraphFont"/>
    <w:link w:val="BalloonText"/>
    <w:uiPriority w:val="99"/>
    <w:semiHidden/>
    <w:rsid w:val="00E82A67"/>
    <w:rPr>
      <w:rFonts w:ascii="Tahoma" w:hAnsi="Tahoma" w:cs="Tahoma"/>
      <w:sz w:val="16"/>
      <w:szCs w:val="16"/>
    </w:rPr>
  </w:style>
  <w:style w:type="character" w:styleId="CommentReference">
    <w:name w:val="annotation reference"/>
    <w:basedOn w:val="DefaultParagraphFont"/>
    <w:uiPriority w:val="99"/>
    <w:semiHidden/>
    <w:unhideWhenUsed/>
    <w:rsid w:val="00801643"/>
    <w:rPr>
      <w:sz w:val="16"/>
      <w:szCs w:val="16"/>
    </w:rPr>
  </w:style>
  <w:style w:type="paragraph" w:styleId="CommentText">
    <w:name w:val="annotation text"/>
    <w:basedOn w:val="Normal"/>
    <w:link w:val="CommentTextChar"/>
    <w:uiPriority w:val="99"/>
    <w:semiHidden/>
    <w:unhideWhenUsed/>
    <w:rsid w:val="00801643"/>
  </w:style>
  <w:style w:type="character" w:customStyle="1" w:styleId="CommentTextChar">
    <w:name w:val="Comment Text Char"/>
    <w:basedOn w:val="DefaultParagraphFont"/>
    <w:link w:val="CommentText"/>
    <w:uiPriority w:val="99"/>
    <w:semiHidden/>
    <w:rsid w:val="00801643"/>
  </w:style>
  <w:style w:type="paragraph" w:styleId="CommentSubject">
    <w:name w:val="annotation subject"/>
    <w:basedOn w:val="CommentText"/>
    <w:next w:val="CommentText"/>
    <w:link w:val="CommentSubjectChar"/>
    <w:uiPriority w:val="99"/>
    <w:semiHidden/>
    <w:unhideWhenUsed/>
    <w:rsid w:val="00801643"/>
    <w:rPr>
      <w:b/>
      <w:bCs/>
    </w:rPr>
  </w:style>
  <w:style w:type="character" w:customStyle="1" w:styleId="CommentSubjectChar">
    <w:name w:val="Comment Subject Char"/>
    <w:basedOn w:val="CommentTextChar"/>
    <w:link w:val="CommentSubject"/>
    <w:uiPriority w:val="99"/>
    <w:semiHidden/>
    <w:rsid w:val="00801643"/>
    <w:rPr>
      <w:b/>
      <w:bCs/>
    </w:rPr>
  </w:style>
  <w:style w:type="character" w:styleId="Hyperlink">
    <w:name w:val="Hyperlink"/>
    <w:basedOn w:val="DefaultParagraphFont"/>
    <w:uiPriority w:val="99"/>
    <w:unhideWhenUsed/>
    <w:rsid w:val="00522921"/>
    <w:rPr>
      <w:color w:val="0000FF" w:themeColor="hyperlink"/>
      <w:u w:val="single"/>
    </w:rPr>
  </w:style>
  <w:style w:type="character" w:customStyle="1" w:styleId="Heading1Char">
    <w:name w:val="Heading 1 Char"/>
    <w:basedOn w:val="DefaultParagraphFont"/>
    <w:link w:val="Heading1"/>
    <w:uiPriority w:val="9"/>
    <w:rsid w:val="00E248AD"/>
    <w:rPr>
      <w:rFonts w:eastAsiaTheme="majorEastAsia" w:cstheme="majorBidi"/>
      <w:b/>
      <w:bCs/>
      <w:sz w:val="24"/>
      <w:szCs w:val="28"/>
    </w:rPr>
  </w:style>
  <w:style w:type="character" w:customStyle="1" w:styleId="Heading2Char">
    <w:name w:val="Heading 2 Char"/>
    <w:basedOn w:val="DefaultParagraphFont"/>
    <w:link w:val="Heading2"/>
    <w:uiPriority w:val="9"/>
    <w:rsid w:val="00E248AD"/>
    <w:rPr>
      <w:rFonts w:eastAsiaTheme="majorEastAsia" w:cstheme="majorBidi"/>
      <w:b/>
      <w:bCs/>
      <w:sz w:val="24"/>
      <w:szCs w:val="26"/>
    </w:rPr>
  </w:style>
  <w:style w:type="character" w:customStyle="1" w:styleId="Heading3Char">
    <w:name w:val="Heading 3 Char"/>
    <w:basedOn w:val="DefaultParagraphFont"/>
    <w:link w:val="Heading3"/>
    <w:uiPriority w:val="9"/>
    <w:rsid w:val="00C97B2C"/>
    <w:rPr>
      <w:rFonts w:eastAsiaTheme="majorEastAsia" w:cstheme="majorBidi"/>
      <w:b/>
      <w:bCs/>
      <w:sz w:val="24"/>
    </w:rPr>
  </w:style>
  <w:style w:type="character" w:customStyle="1" w:styleId="Heading4Char">
    <w:name w:val="Heading 4 Char"/>
    <w:basedOn w:val="DefaultParagraphFont"/>
    <w:link w:val="Heading4"/>
    <w:uiPriority w:val="9"/>
    <w:rsid w:val="00B1235C"/>
    <w:rPr>
      <w:rFonts w:eastAsiaTheme="majorEastAsia" w:cstheme="majorBidi"/>
      <w:bCs/>
      <w:i/>
      <w:iCs/>
      <w:sz w:val="24"/>
    </w:rPr>
  </w:style>
  <w:style w:type="character" w:customStyle="1" w:styleId="Heading5Char">
    <w:name w:val="Heading 5 Char"/>
    <w:basedOn w:val="DefaultParagraphFont"/>
    <w:link w:val="Heading5"/>
    <w:uiPriority w:val="9"/>
    <w:rsid w:val="00BC06D5"/>
    <w:rPr>
      <w:rFonts w:eastAsiaTheme="majorEastAsia" w:cstheme="majorBidi"/>
      <w:sz w:val="24"/>
    </w:rPr>
  </w:style>
  <w:style w:type="paragraph" w:styleId="TOCHeading">
    <w:name w:val="TOC Heading"/>
    <w:basedOn w:val="Heading1"/>
    <w:next w:val="Normal"/>
    <w:uiPriority w:val="39"/>
    <w:unhideWhenUsed/>
    <w:qFormat/>
    <w:rsid w:val="00FD699A"/>
    <w:pPr>
      <w:spacing w:before="480" w:line="276" w:lineRule="auto"/>
      <w:outlineLvl w:val="9"/>
    </w:pPr>
    <w:rPr>
      <w:rFonts w:asciiTheme="majorHAnsi" w:hAnsiTheme="majorHAnsi"/>
      <w:color w:val="365F91" w:themeColor="accent1" w:themeShade="BF"/>
      <w:sz w:val="28"/>
      <w:lang w:eastAsia="en-US"/>
    </w:rPr>
  </w:style>
  <w:style w:type="paragraph" w:styleId="TOC1">
    <w:name w:val="toc 1"/>
    <w:basedOn w:val="Normal"/>
    <w:next w:val="Normal"/>
    <w:autoRedefine/>
    <w:uiPriority w:val="39"/>
    <w:unhideWhenUsed/>
    <w:qFormat/>
    <w:rsid w:val="00FD699A"/>
    <w:pPr>
      <w:spacing w:after="100"/>
    </w:pPr>
  </w:style>
  <w:style w:type="paragraph" w:styleId="TOC2">
    <w:name w:val="toc 2"/>
    <w:basedOn w:val="Normal"/>
    <w:next w:val="Normal"/>
    <w:autoRedefine/>
    <w:uiPriority w:val="39"/>
    <w:unhideWhenUsed/>
    <w:qFormat/>
    <w:rsid w:val="00FD699A"/>
    <w:pPr>
      <w:spacing w:after="100"/>
      <w:ind w:left="200"/>
    </w:pPr>
  </w:style>
  <w:style w:type="paragraph" w:styleId="TOC3">
    <w:name w:val="toc 3"/>
    <w:basedOn w:val="Normal"/>
    <w:next w:val="Normal"/>
    <w:autoRedefine/>
    <w:uiPriority w:val="39"/>
    <w:unhideWhenUsed/>
    <w:qFormat/>
    <w:rsid w:val="00FD699A"/>
    <w:pPr>
      <w:spacing w:after="100"/>
      <w:ind w:left="400"/>
    </w:pPr>
  </w:style>
  <w:style w:type="character" w:styleId="PageNumber">
    <w:name w:val="page number"/>
    <w:basedOn w:val="DefaultParagraphFont"/>
    <w:uiPriority w:val="99"/>
    <w:semiHidden/>
    <w:unhideWhenUsed/>
    <w:rsid w:val="00FF6F5A"/>
  </w:style>
  <w:style w:type="paragraph" w:styleId="TableofAuthorities">
    <w:name w:val="table of authorities"/>
    <w:basedOn w:val="Normal"/>
    <w:next w:val="Normal"/>
    <w:uiPriority w:val="99"/>
    <w:semiHidden/>
    <w:unhideWhenUsed/>
    <w:rsid w:val="00E52611"/>
    <w:pPr>
      <w:ind w:left="240" w:hanging="240"/>
    </w:pPr>
  </w:style>
  <w:style w:type="paragraph" w:customStyle="1" w:styleId="BATOAPageHeading">
    <w:name w:val="BA TOA Page Heading"/>
    <w:basedOn w:val="Normal"/>
    <w:rsid w:val="00E52611"/>
    <w:pPr>
      <w:keepNext/>
      <w:keepLines/>
      <w:tabs>
        <w:tab w:val="right" w:pos="9360"/>
      </w:tabs>
      <w:jc w:val="right"/>
    </w:pPr>
    <w:rPr>
      <w:rFonts w:ascii="Times New Roman" w:eastAsia="Times New Roman" w:hAnsi="Times New Roman"/>
      <w:b/>
      <w:lang w:eastAsia="en-US"/>
    </w:rPr>
  </w:style>
  <w:style w:type="paragraph" w:customStyle="1" w:styleId="BATOAHeading">
    <w:name w:val="BA TOA Heading"/>
    <w:basedOn w:val="Normal"/>
    <w:rsid w:val="00E52611"/>
    <w:pPr>
      <w:keepNext/>
      <w:keepLines/>
      <w:spacing w:after="240"/>
    </w:pPr>
    <w:rPr>
      <w:rFonts w:ascii="Times New Roman" w:eastAsia="Times New Roman" w:hAnsi="Times New Roman"/>
      <w:b/>
      <w:smallCaps/>
      <w:lang w:eastAsia="en-US"/>
    </w:rPr>
  </w:style>
  <w:style w:type="paragraph" w:customStyle="1" w:styleId="BATOAEntry">
    <w:name w:val="BA TOA Entry"/>
    <w:basedOn w:val="Normal"/>
    <w:rsid w:val="00E52611"/>
    <w:pPr>
      <w:keepLines/>
      <w:tabs>
        <w:tab w:val="right" w:leader="dot" w:pos="9360"/>
      </w:tabs>
      <w:spacing w:after="240"/>
      <w:ind w:left="360" w:right="720" w:hanging="360"/>
    </w:pPr>
    <w:rPr>
      <w:rFonts w:ascii="Times New Roman" w:eastAsia="Times New Roman" w:hAnsi="Times New Roman"/>
      <w:lang w:eastAsia="en-US"/>
    </w:rPr>
  </w:style>
  <w:style w:type="paragraph" w:customStyle="1" w:styleId="BADraft">
    <w:name w:val="BA Draft"/>
    <w:basedOn w:val="BodyText"/>
    <w:rsid w:val="00E52611"/>
    <w:pPr>
      <w:keepLines/>
      <w:widowControl w:val="0"/>
      <w:spacing w:after="0"/>
    </w:pPr>
    <w:rPr>
      <w:rFonts w:ascii="Times New Roman" w:eastAsia="Times New Roman" w:hAnsi="Times New Roman"/>
      <w:lang w:eastAsia="en-US"/>
    </w:rPr>
  </w:style>
  <w:style w:type="paragraph" w:styleId="BodyText">
    <w:name w:val="Body Text"/>
    <w:basedOn w:val="Normal"/>
    <w:link w:val="BodyTextChar"/>
    <w:uiPriority w:val="99"/>
    <w:semiHidden/>
    <w:unhideWhenUsed/>
    <w:rsid w:val="00E52611"/>
    <w:pPr>
      <w:spacing w:after="120"/>
    </w:pPr>
  </w:style>
  <w:style w:type="character" w:customStyle="1" w:styleId="BodyTextChar">
    <w:name w:val="Body Text Char"/>
    <w:basedOn w:val="DefaultParagraphFont"/>
    <w:link w:val="BodyText"/>
    <w:uiPriority w:val="99"/>
    <w:semiHidden/>
    <w:rsid w:val="00E52611"/>
  </w:style>
  <w:style w:type="paragraph" w:customStyle="1" w:styleId="BATOATitle">
    <w:name w:val="BA TOA Title"/>
    <w:basedOn w:val="Normal"/>
    <w:rsid w:val="00E52611"/>
    <w:pPr>
      <w:keepNext/>
      <w:spacing w:before="120" w:after="240"/>
      <w:jc w:val="center"/>
    </w:pPr>
    <w:rPr>
      <w:rFonts w:ascii="Times New Roman" w:eastAsia="Times New Roman" w:hAnsi="Times New Roman"/>
      <w:b/>
      <w:caps/>
      <w:u w:val="single"/>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0C"/>
  </w:style>
  <w:style w:type="paragraph" w:styleId="Heading1">
    <w:name w:val="heading 1"/>
    <w:basedOn w:val="Normal"/>
    <w:next w:val="Normal"/>
    <w:link w:val="Heading1Char"/>
    <w:uiPriority w:val="9"/>
    <w:qFormat/>
    <w:rsid w:val="00E248AD"/>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248AD"/>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7B2C"/>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B1235C"/>
    <w:pPr>
      <w:keepNext/>
      <w:keepLines/>
      <w:ind w:left="216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BC06D5"/>
    <w:pPr>
      <w:keepNext/>
      <w:keepLines/>
      <w:ind w:left="14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86E"/>
    <w:pPr>
      <w:ind w:left="720"/>
      <w:contextualSpacing/>
    </w:pPr>
  </w:style>
  <w:style w:type="character" w:styleId="Emphasis">
    <w:name w:val="Emphasis"/>
    <w:basedOn w:val="DefaultParagraphFont"/>
    <w:uiPriority w:val="20"/>
    <w:qFormat/>
    <w:rsid w:val="005C741B"/>
    <w:rPr>
      <w:i/>
      <w:iCs/>
    </w:rPr>
  </w:style>
  <w:style w:type="paragraph" w:styleId="FootnoteText">
    <w:name w:val="footnote text"/>
    <w:basedOn w:val="Normal"/>
    <w:link w:val="FootnoteTextChar"/>
    <w:uiPriority w:val="99"/>
    <w:unhideWhenUsed/>
    <w:rsid w:val="00E469FB"/>
  </w:style>
  <w:style w:type="character" w:customStyle="1" w:styleId="FootnoteTextChar">
    <w:name w:val="Footnote Text Char"/>
    <w:basedOn w:val="DefaultParagraphFont"/>
    <w:link w:val="FootnoteText"/>
    <w:uiPriority w:val="99"/>
    <w:rsid w:val="00E469FB"/>
    <w:rPr>
      <w:sz w:val="20"/>
      <w:szCs w:val="20"/>
    </w:rPr>
  </w:style>
  <w:style w:type="character" w:styleId="FootnoteReference">
    <w:name w:val="footnote reference"/>
    <w:basedOn w:val="DefaultParagraphFont"/>
    <w:uiPriority w:val="99"/>
    <w:unhideWhenUsed/>
    <w:rsid w:val="00E469FB"/>
    <w:rPr>
      <w:vertAlign w:val="superscript"/>
    </w:rPr>
  </w:style>
  <w:style w:type="paragraph" w:styleId="Header">
    <w:name w:val="header"/>
    <w:basedOn w:val="Normal"/>
    <w:link w:val="HeaderChar"/>
    <w:uiPriority w:val="99"/>
    <w:unhideWhenUsed/>
    <w:rsid w:val="00AC0740"/>
    <w:pPr>
      <w:tabs>
        <w:tab w:val="center" w:pos="4680"/>
        <w:tab w:val="right" w:pos="9360"/>
      </w:tabs>
    </w:pPr>
  </w:style>
  <w:style w:type="character" w:customStyle="1" w:styleId="HeaderChar">
    <w:name w:val="Header Char"/>
    <w:basedOn w:val="DefaultParagraphFont"/>
    <w:link w:val="Header"/>
    <w:uiPriority w:val="99"/>
    <w:rsid w:val="00AC0740"/>
  </w:style>
  <w:style w:type="paragraph" w:styleId="Footer">
    <w:name w:val="footer"/>
    <w:basedOn w:val="Normal"/>
    <w:link w:val="FooterChar"/>
    <w:uiPriority w:val="99"/>
    <w:unhideWhenUsed/>
    <w:rsid w:val="00AC0740"/>
    <w:pPr>
      <w:tabs>
        <w:tab w:val="center" w:pos="4680"/>
        <w:tab w:val="right" w:pos="9360"/>
      </w:tabs>
    </w:pPr>
  </w:style>
  <w:style w:type="character" w:customStyle="1" w:styleId="FooterChar">
    <w:name w:val="Footer Char"/>
    <w:basedOn w:val="DefaultParagraphFont"/>
    <w:link w:val="Footer"/>
    <w:uiPriority w:val="99"/>
    <w:rsid w:val="00AC0740"/>
  </w:style>
  <w:style w:type="paragraph" w:styleId="NoSpacing">
    <w:name w:val="No Spacing"/>
    <w:link w:val="NoSpacingChar"/>
    <w:qFormat/>
    <w:rsid w:val="00E82A67"/>
    <w:rPr>
      <w:rFonts w:asciiTheme="minorHAnsi" w:hAnsiTheme="minorHAnsi" w:cstheme="minorBidi"/>
      <w:lang w:eastAsia="en-US"/>
    </w:rPr>
  </w:style>
  <w:style w:type="character" w:customStyle="1" w:styleId="NoSpacingChar">
    <w:name w:val="No Spacing Char"/>
    <w:basedOn w:val="DefaultParagraphFont"/>
    <w:link w:val="NoSpacing"/>
    <w:rsid w:val="00E82A67"/>
    <w:rPr>
      <w:rFonts w:asciiTheme="minorHAnsi" w:hAnsiTheme="minorHAnsi" w:cstheme="minorBidi"/>
      <w:lang w:eastAsia="en-US"/>
    </w:rPr>
  </w:style>
  <w:style w:type="paragraph" w:styleId="BalloonText">
    <w:name w:val="Balloon Text"/>
    <w:basedOn w:val="Normal"/>
    <w:link w:val="BalloonTextChar"/>
    <w:uiPriority w:val="99"/>
    <w:semiHidden/>
    <w:unhideWhenUsed/>
    <w:rsid w:val="00E82A67"/>
    <w:rPr>
      <w:rFonts w:ascii="Tahoma" w:hAnsi="Tahoma" w:cs="Tahoma"/>
      <w:sz w:val="16"/>
      <w:szCs w:val="16"/>
    </w:rPr>
  </w:style>
  <w:style w:type="character" w:customStyle="1" w:styleId="BalloonTextChar">
    <w:name w:val="Balloon Text Char"/>
    <w:basedOn w:val="DefaultParagraphFont"/>
    <w:link w:val="BalloonText"/>
    <w:uiPriority w:val="99"/>
    <w:semiHidden/>
    <w:rsid w:val="00E82A67"/>
    <w:rPr>
      <w:rFonts w:ascii="Tahoma" w:hAnsi="Tahoma" w:cs="Tahoma"/>
      <w:sz w:val="16"/>
      <w:szCs w:val="16"/>
    </w:rPr>
  </w:style>
  <w:style w:type="character" w:styleId="CommentReference">
    <w:name w:val="annotation reference"/>
    <w:basedOn w:val="DefaultParagraphFont"/>
    <w:uiPriority w:val="99"/>
    <w:semiHidden/>
    <w:unhideWhenUsed/>
    <w:rsid w:val="00801643"/>
    <w:rPr>
      <w:sz w:val="16"/>
      <w:szCs w:val="16"/>
    </w:rPr>
  </w:style>
  <w:style w:type="paragraph" w:styleId="CommentText">
    <w:name w:val="annotation text"/>
    <w:basedOn w:val="Normal"/>
    <w:link w:val="CommentTextChar"/>
    <w:uiPriority w:val="99"/>
    <w:semiHidden/>
    <w:unhideWhenUsed/>
    <w:rsid w:val="00801643"/>
  </w:style>
  <w:style w:type="character" w:customStyle="1" w:styleId="CommentTextChar">
    <w:name w:val="Comment Text Char"/>
    <w:basedOn w:val="DefaultParagraphFont"/>
    <w:link w:val="CommentText"/>
    <w:uiPriority w:val="99"/>
    <w:semiHidden/>
    <w:rsid w:val="00801643"/>
  </w:style>
  <w:style w:type="paragraph" w:styleId="CommentSubject">
    <w:name w:val="annotation subject"/>
    <w:basedOn w:val="CommentText"/>
    <w:next w:val="CommentText"/>
    <w:link w:val="CommentSubjectChar"/>
    <w:uiPriority w:val="99"/>
    <w:semiHidden/>
    <w:unhideWhenUsed/>
    <w:rsid w:val="00801643"/>
    <w:rPr>
      <w:b/>
      <w:bCs/>
    </w:rPr>
  </w:style>
  <w:style w:type="character" w:customStyle="1" w:styleId="CommentSubjectChar">
    <w:name w:val="Comment Subject Char"/>
    <w:basedOn w:val="CommentTextChar"/>
    <w:link w:val="CommentSubject"/>
    <w:uiPriority w:val="99"/>
    <w:semiHidden/>
    <w:rsid w:val="00801643"/>
    <w:rPr>
      <w:b/>
      <w:bCs/>
    </w:rPr>
  </w:style>
  <w:style w:type="character" w:styleId="Hyperlink">
    <w:name w:val="Hyperlink"/>
    <w:basedOn w:val="DefaultParagraphFont"/>
    <w:uiPriority w:val="99"/>
    <w:unhideWhenUsed/>
    <w:rsid w:val="00522921"/>
    <w:rPr>
      <w:color w:val="0000FF" w:themeColor="hyperlink"/>
      <w:u w:val="single"/>
    </w:rPr>
  </w:style>
  <w:style w:type="character" w:customStyle="1" w:styleId="Heading1Char">
    <w:name w:val="Heading 1 Char"/>
    <w:basedOn w:val="DefaultParagraphFont"/>
    <w:link w:val="Heading1"/>
    <w:uiPriority w:val="9"/>
    <w:rsid w:val="00E248AD"/>
    <w:rPr>
      <w:rFonts w:eastAsiaTheme="majorEastAsia" w:cstheme="majorBidi"/>
      <w:b/>
      <w:bCs/>
      <w:sz w:val="24"/>
      <w:szCs w:val="28"/>
    </w:rPr>
  </w:style>
  <w:style w:type="character" w:customStyle="1" w:styleId="Heading2Char">
    <w:name w:val="Heading 2 Char"/>
    <w:basedOn w:val="DefaultParagraphFont"/>
    <w:link w:val="Heading2"/>
    <w:uiPriority w:val="9"/>
    <w:rsid w:val="00E248AD"/>
    <w:rPr>
      <w:rFonts w:eastAsiaTheme="majorEastAsia" w:cstheme="majorBidi"/>
      <w:b/>
      <w:bCs/>
      <w:sz w:val="24"/>
      <w:szCs w:val="26"/>
    </w:rPr>
  </w:style>
  <w:style w:type="character" w:customStyle="1" w:styleId="Heading3Char">
    <w:name w:val="Heading 3 Char"/>
    <w:basedOn w:val="DefaultParagraphFont"/>
    <w:link w:val="Heading3"/>
    <w:uiPriority w:val="9"/>
    <w:rsid w:val="00C97B2C"/>
    <w:rPr>
      <w:rFonts w:eastAsiaTheme="majorEastAsia" w:cstheme="majorBidi"/>
      <w:b/>
      <w:bCs/>
      <w:sz w:val="24"/>
    </w:rPr>
  </w:style>
  <w:style w:type="character" w:customStyle="1" w:styleId="Heading4Char">
    <w:name w:val="Heading 4 Char"/>
    <w:basedOn w:val="DefaultParagraphFont"/>
    <w:link w:val="Heading4"/>
    <w:uiPriority w:val="9"/>
    <w:rsid w:val="00B1235C"/>
    <w:rPr>
      <w:rFonts w:eastAsiaTheme="majorEastAsia" w:cstheme="majorBidi"/>
      <w:bCs/>
      <w:i/>
      <w:iCs/>
      <w:sz w:val="24"/>
    </w:rPr>
  </w:style>
  <w:style w:type="character" w:customStyle="1" w:styleId="Heading5Char">
    <w:name w:val="Heading 5 Char"/>
    <w:basedOn w:val="DefaultParagraphFont"/>
    <w:link w:val="Heading5"/>
    <w:uiPriority w:val="9"/>
    <w:rsid w:val="00BC06D5"/>
    <w:rPr>
      <w:rFonts w:eastAsiaTheme="majorEastAsia" w:cstheme="majorBidi"/>
      <w:sz w:val="24"/>
    </w:rPr>
  </w:style>
  <w:style w:type="paragraph" w:styleId="TOCHeading">
    <w:name w:val="TOC Heading"/>
    <w:basedOn w:val="Heading1"/>
    <w:next w:val="Normal"/>
    <w:uiPriority w:val="39"/>
    <w:unhideWhenUsed/>
    <w:qFormat/>
    <w:rsid w:val="00FD699A"/>
    <w:pPr>
      <w:spacing w:before="480" w:line="276" w:lineRule="auto"/>
      <w:outlineLvl w:val="9"/>
    </w:pPr>
    <w:rPr>
      <w:rFonts w:asciiTheme="majorHAnsi" w:hAnsiTheme="majorHAnsi"/>
      <w:color w:val="365F91" w:themeColor="accent1" w:themeShade="BF"/>
      <w:sz w:val="28"/>
      <w:lang w:eastAsia="en-US"/>
    </w:rPr>
  </w:style>
  <w:style w:type="paragraph" w:styleId="TOC1">
    <w:name w:val="toc 1"/>
    <w:basedOn w:val="Normal"/>
    <w:next w:val="Normal"/>
    <w:autoRedefine/>
    <w:uiPriority w:val="39"/>
    <w:unhideWhenUsed/>
    <w:qFormat/>
    <w:rsid w:val="00FD699A"/>
    <w:pPr>
      <w:spacing w:after="100"/>
    </w:pPr>
  </w:style>
  <w:style w:type="paragraph" w:styleId="TOC2">
    <w:name w:val="toc 2"/>
    <w:basedOn w:val="Normal"/>
    <w:next w:val="Normal"/>
    <w:autoRedefine/>
    <w:uiPriority w:val="39"/>
    <w:unhideWhenUsed/>
    <w:qFormat/>
    <w:rsid w:val="00FD699A"/>
    <w:pPr>
      <w:spacing w:after="100"/>
      <w:ind w:left="200"/>
    </w:pPr>
  </w:style>
  <w:style w:type="paragraph" w:styleId="TOC3">
    <w:name w:val="toc 3"/>
    <w:basedOn w:val="Normal"/>
    <w:next w:val="Normal"/>
    <w:autoRedefine/>
    <w:uiPriority w:val="39"/>
    <w:unhideWhenUsed/>
    <w:qFormat/>
    <w:rsid w:val="00FD699A"/>
    <w:pPr>
      <w:spacing w:after="100"/>
      <w:ind w:left="400"/>
    </w:pPr>
  </w:style>
  <w:style w:type="character" w:styleId="PageNumber">
    <w:name w:val="page number"/>
    <w:basedOn w:val="DefaultParagraphFont"/>
    <w:uiPriority w:val="99"/>
    <w:semiHidden/>
    <w:unhideWhenUsed/>
    <w:rsid w:val="00FF6F5A"/>
  </w:style>
</w:styles>
</file>

<file path=word/webSettings.xml><?xml version="1.0" encoding="utf-8"?>
<w:webSettings xmlns:r="http://schemas.openxmlformats.org/officeDocument/2006/relationships" xmlns:w="http://schemas.openxmlformats.org/wordprocessingml/2006/main">
  <w:divs>
    <w:div w:id="1587147">
      <w:bodyDiv w:val="1"/>
      <w:marLeft w:val="0"/>
      <w:marRight w:val="0"/>
      <w:marTop w:val="0"/>
      <w:marBottom w:val="0"/>
      <w:divBdr>
        <w:top w:val="none" w:sz="0" w:space="0" w:color="auto"/>
        <w:left w:val="none" w:sz="0" w:space="0" w:color="auto"/>
        <w:bottom w:val="none" w:sz="0" w:space="0" w:color="auto"/>
        <w:right w:val="none" w:sz="0" w:space="0" w:color="auto"/>
      </w:divBdr>
      <w:divsChild>
        <w:div w:id="1782530516">
          <w:marLeft w:val="48"/>
          <w:marRight w:val="0"/>
          <w:marTop w:val="0"/>
          <w:marBottom w:val="0"/>
          <w:divBdr>
            <w:top w:val="none" w:sz="0" w:space="0" w:color="auto"/>
            <w:left w:val="none" w:sz="0" w:space="0" w:color="auto"/>
            <w:bottom w:val="none" w:sz="0" w:space="0" w:color="auto"/>
            <w:right w:val="none" w:sz="0" w:space="0" w:color="auto"/>
          </w:divBdr>
        </w:div>
      </w:divsChild>
    </w:div>
    <w:div w:id="18355299">
      <w:bodyDiv w:val="1"/>
      <w:marLeft w:val="0"/>
      <w:marRight w:val="0"/>
      <w:marTop w:val="0"/>
      <w:marBottom w:val="0"/>
      <w:divBdr>
        <w:top w:val="none" w:sz="0" w:space="0" w:color="auto"/>
        <w:left w:val="none" w:sz="0" w:space="0" w:color="auto"/>
        <w:bottom w:val="none" w:sz="0" w:space="0" w:color="auto"/>
        <w:right w:val="none" w:sz="0" w:space="0" w:color="auto"/>
      </w:divBdr>
      <w:divsChild>
        <w:div w:id="757168510">
          <w:marLeft w:val="0"/>
          <w:marRight w:val="0"/>
          <w:marTop w:val="0"/>
          <w:marBottom w:val="0"/>
          <w:divBdr>
            <w:top w:val="none" w:sz="0" w:space="0" w:color="auto"/>
            <w:left w:val="none" w:sz="0" w:space="0" w:color="auto"/>
            <w:bottom w:val="none" w:sz="0" w:space="0" w:color="auto"/>
            <w:right w:val="none" w:sz="0" w:space="0" w:color="auto"/>
          </w:divBdr>
          <w:divsChild>
            <w:div w:id="20323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7312">
      <w:bodyDiv w:val="1"/>
      <w:marLeft w:val="0"/>
      <w:marRight w:val="0"/>
      <w:marTop w:val="0"/>
      <w:marBottom w:val="0"/>
      <w:divBdr>
        <w:top w:val="none" w:sz="0" w:space="0" w:color="auto"/>
        <w:left w:val="none" w:sz="0" w:space="0" w:color="auto"/>
        <w:bottom w:val="none" w:sz="0" w:space="0" w:color="auto"/>
        <w:right w:val="none" w:sz="0" w:space="0" w:color="auto"/>
      </w:divBdr>
      <w:divsChild>
        <w:div w:id="2096052775">
          <w:marLeft w:val="0"/>
          <w:marRight w:val="0"/>
          <w:marTop w:val="0"/>
          <w:marBottom w:val="0"/>
          <w:divBdr>
            <w:top w:val="none" w:sz="0" w:space="0" w:color="auto"/>
            <w:left w:val="none" w:sz="0" w:space="0" w:color="auto"/>
            <w:bottom w:val="none" w:sz="0" w:space="0" w:color="auto"/>
            <w:right w:val="none" w:sz="0" w:space="0" w:color="auto"/>
          </w:divBdr>
          <w:divsChild>
            <w:div w:id="7702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07">
      <w:bodyDiv w:val="1"/>
      <w:marLeft w:val="0"/>
      <w:marRight w:val="0"/>
      <w:marTop w:val="0"/>
      <w:marBottom w:val="0"/>
      <w:divBdr>
        <w:top w:val="none" w:sz="0" w:space="0" w:color="auto"/>
        <w:left w:val="none" w:sz="0" w:space="0" w:color="auto"/>
        <w:bottom w:val="none" w:sz="0" w:space="0" w:color="auto"/>
        <w:right w:val="none" w:sz="0" w:space="0" w:color="auto"/>
      </w:divBdr>
      <w:divsChild>
        <w:div w:id="250741760">
          <w:marLeft w:val="0"/>
          <w:marRight w:val="0"/>
          <w:marTop w:val="0"/>
          <w:marBottom w:val="0"/>
          <w:divBdr>
            <w:top w:val="none" w:sz="0" w:space="0" w:color="auto"/>
            <w:left w:val="none" w:sz="0" w:space="0" w:color="auto"/>
            <w:bottom w:val="none" w:sz="0" w:space="0" w:color="auto"/>
            <w:right w:val="none" w:sz="0" w:space="0" w:color="auto"/>
          </w:divBdr>
          <w:divsChild>
            <w:div w:id="20888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481">
      <w:bodyDiv w:val="1"/>
      <w:marLeft w:val="0"/>
      <w:marRight w:val="0"/>
      <w:marTop w:val="0"/>
      <w:marBottom w:val="0"/>
      <w:divBdr>
        <w:top w:val="none" w:sz="0" w:space="0" w:color="auto"/>
        <w:left w:val="none" w:sz="0" w:space="0" w:color="auto"/>
        <w:bottom w:val="none" w:sz="0" w:space="0" w:color="auto"/>
        <w:right w:val="none" w:sz="0" w:space="0" w:color="auto"/>
      </w:divBdr>
      <w:divsChild>
        <w:div w:id="506143213">
          <w:marLeft w:val="0"/>
          <w:marRight w:val="0"/>
          <w:marTop w:val="0"/>
          <w:marBottom w:val="0"/>
          <w:divBdr>
            <w:top w:val="none" w:sz="0" w:space="0" w:color="auto"/>
            <w:left w:val="none" w:sz="0" w:space="0" w:color="auto"/>
            <w:bottom w:val="none" w:sz="0" w:space="0" w:color="auto"/>
            <w:right w:val="none" w:sz="0" w:space="0" w:color="auto"/>
          </w:divBdr>
          <w:divsChild>
            <w:div w:id="5426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9597">
      <w:bodyDiv w:val="1"/>
      <w:marLeft w:val="0"/>
      <w:marRight w:val="0"/>
      <w:marTop w:val="0"/>
      <w:marBottom w:val="0"/>
      <w:divBdr>
        <w:top w:val="none" w:sz="0" w:space="0" w:color="auto"/>
        <w:left w:val="none" w:sz="0" w:space="0" w:color="auto"/>
        <w:bottom w:val="none" w:sz="0" w:space="0" w:color="auto"/>
        <w:right w:val="none" w:sz="0" w:space="0" w:color="auto"/>
      </w:divBdr>
      <w:divsChild>
        <w:div w:id="2037388913">
          <w:marLeft w:val="0"/>
          <w:marRight w:val="0"/>
          <w:marTop w:val="0"/>
          <w:marBottom w:val="0"/>
          <w:divBdr>
            <w:top w:val="none" w:sz="0" w:space="0" w:color="auto"/>
            <w:left w:val="none" w:sz="0" w:space="0" w:color="auto"/>
            <w:bottom w:val="none" w:sz="0" w:space="0" w:color="auto"/>
            <w:right w:val="none" w:sz="0" w:space="0" w:color="auto"/>
          </w:divBdr>
          <w:divsChild>
            <w:div w:id="633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4605">
      <w:bodyDiv w:val="1"/>
      <w:marLeft w:val="0"/>
      <w:marRight w:val="0"/>
      <w:marTop w:val="0"/>
      <w:marBottom w:val="0"/>
      <w:divBdr>
        <w:top w:val="none" w:sz="0" w:space="0" w:color="auto"/>
        <w:left w:val="none" w:sz="0" w:space="0" w:color="auto"/>
        <w:bottom w:val="none" w:sz="0" w:space="0" w:color="auto"/>
        <w:right w:val="none" w:sz="0" w:space="0" w:color="auto"/>
      </w:divBdr>
      <w:divsChild>
        <w:div w:id="1601597621">
          <w:marLeft w:val="0"/>
          <w:marRight w:val="0"/>
          <w:marTop w:val="0"/>
          <w:marBottom w:val="0"/>
          <w:divBdr>
            <w:top w:val="none" w:sz="0" w:space="0" w:color="auto"/>
            <w:left w:val="none" w:sz="0" w:space="0" w:color="auto"/>
            <w:bottom w:val="none" w:sz="0" w:space="0" w:color="auto"/>
            <w:right w:val="none" w:sz="0" w:space="0" w:color="auto"/>
          </w:divBdr>
          <w:divsChild>
            <w:div w:id="388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2015">
      <w:bodyDiv w:val="1"/>
      <w:marLeft w:val="0"/>
      <w:marRight w:val="0"/>
      <w:marTop w:val="0"/>
      <w:marBottom w:val="0"/>
      <w:divBdr>
        <w:top w:val="none" w:sz="0" w:space="0" w:color="auto"/>
        <w:left w:val="none" w:sz="0" w:space="0" w:color="auto"/>
        <w:bottom w:val="none" w:sz="0" w:space="0" w:color="auto"/>
        <w:right w:val="none" w:sz="0" w:space="0" w:color="auto"/>
      </w:divBdr>
      <w:divsChild>
        <w:div w:id="1105883991">
          <w:marLeft w:val="0"/>
          <w:marRight w:val="0"/>
          <w:marTop w:val="0"/>
          <w:marBottom w:val="0"/>
          <w:divBdr>
            <w:top w:val="none" w:sz="0" w:space="0" w:color="auto"/>
            <w:left w:val="none" w:sz="0" w:space="0" w:color="auto"/>
            <w:bottom w:val="none" w:sz="0" w:space="0" w:color="auto"/>
            <w:right w:val="none" w:sz="0" w:space="0" w:color="auto"/>
          </w:divBdr>
          <w:divsChild>
            <w:div w:id="9921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2726">
      <w:bodyDiv w:val="1"/>
      <w:marLeft w:val="0"/>
      <w:marRight w:val="0"/>
      <w:marTop w:val="0"/>
      <w:marBottom w:val="0"/>
      <w:divBdr>
        <w:top w:val="none" w:sz="0" w:space="0" w:color="auto"/>
        <w:left w:val="none" w:sz="0" w:space="0" w:color="auto"/>
        <w:bottom w:val="none" w:sz="0" w:space="0" w:color="auto"/>
        <w:right w:val="none" w:sz="0" w:space="0" w:color="auto"/>
      </w:divBdr>
      <w:divsChild>
        <w:div w:id="110245455">
          <w:marLeft w:val="0"/>
          <w:marRight w:val="0"/>
          <w:marTop w:val="0"/>
          <w:marBottom w:val="0"/>
          <w:divBdr>
            <w:top w:val="none" w:sz="0" w:space="0" w:color="auto"/>
            <w:left w:val="none" w:sz="0" w:space="0" w:color="auto"/>
            <w:bottom w:val="none" w:sz="0" w:space="0" w:color="auto"/>
            <w:right w:val="none" w:sz="0" w:space="0" w:color="auto"/>
          </w:divBdr>
          <w:divsChild>
            <w:div w:id="62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7397">
      <w:bodyDiv w:val="1"/>
      <w:marLeft w:val="0"/>
      <w:marRight w:val="0"/>
      <w:marTop w:val="0"/>
      <w:marBottom w:val="0"/>
      <w:divBdr>
        <w:top w:val="none" w:sz="0" w:space="0" w:color="auto"/>
        <w:left w:val="none" w:sz="0" w:space="0" w:color="auto"/>
        <w:bottom w:val="none" w:sz="0" w:space="0" w:color="auto"/>
        <w:right w:val="none" w:sz="0" w:space="0" w:color="auto"/>
      </w:divBdr>
      <w:divsChild>
        <w:div w:id="716394041">
          <w:marLeft w:val="0"/>
          <w:marRight w:val="0"/>
          <w:marTop w:val="0"/>
          <w:marBottom w:val="0"/>
          <w:divBdr>
            <w:top w:val="none" w:sz="0" w:space="0" w:color="auto"/>
            <w:left w:val="none" w:sz="0" w:space="0" w:color="auto"/>
            <w:bottom w:val="none" w:sz="0" w:space="0" w:color="auto"/>
            <w:right w:val="none" w:sz="0" w:space="0" w:color="auto"/>
          </w:divBdr>
          <w:divsChild>
            <w:div w:id="8608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4745">
      <w:bodyDiv w:val="1"/>
      <w:marLeft w:val="0"/>
      <w:marRight w:val="0"/>
      <w:marTop w:val="0"/>
      <w:marBottom w:val="0"/>
      <w:divBdr>
        <w:top w:val="none" w:sz="0" w:space="0" w:color="auto"/>
        <w:left w:val="none" w:sz="0" w:space="0" w:color="auto"/>
        <w:bottom w:val="none" w:sz="0" w:space="0" w:color="auto"/>
        <w:right w:val="none" w:sz="0" w:space="0" w:color="auto"/>
      </w:divBdr>
      <w:divsChild>
        <w:div w:id="47076699">
          <w:marLeft w:val="0"/>
          <w:marRight w:val="0"/>
          <w:marTop w:val="0"/>
          <w:marBottom w:val="0"/>
          <w:divBdr>
            <w:top w:val="none" w:sz="0" w:space="0" w:color="auto"/>
            <w:left w:val="none" w:sz="0" w:space="0" w:color="auto"/>
            <w:bottom w:val="none" w:sz="0" w:space="0" w:color="auto"/>
            <w:right w:val="none" w:sz="0" w:space="0" w:color="auto"/>
          </w:divBdr>
          <w:divsChild>
            <w:div w:id="20399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3730">
      <w:bodyDiv w:val="1"/>
      <w:marLeft w:val="0"/>
      <w:marRight w:val="0"/>
      <w:marTop w:val="0"/>
      <w:marBottom w:val="0"/>
      <w:divBdr>
        <w:top w:val="none" w:sz="0" w:space="0" w:color="auto"/>
        <w:left w:val="none" w:sz="0" w:space="0" w:color="auto"/>
        <w:bottom w:val="none" w:sz="0" w:space="0" w:color="auto"/>
        <w:right w:val="none" w:sz="0" w:space="0" w:color="auto"/>
      </w:divBdr>
      <w:divsChild>
        <w:div w:id="1358120385">
          <w:marLeft w:val="0"/>
          <w:marRight w:val="0"/>
          <w:marTop w:val="0"/>
          <w:marBottom w:val="0"/>
          <w:divBdr>
            <w:top w:val="none" w:sz="0" w:space="0" w:color="auto"/>
            <w:left w:val="none" w:sz="0" w:space="0" w:color="auto"/>
            <w:bottom w:val="none" w:sz="0" w:space="0" w:color="auto"/>
            <w:right w:val="none" w:sz="0" w:space="0" w:color="auto"/>
          </w:divBdr>
          <w:divsChild>
            <w:div w:id="13982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6816">
      <w:bodyDiv w:val="1"/>
      <w:marLeft w:val="0"/>
      <w:marRight w:val="0"/>
      <w:marTop w:val="0"/>
      <w:marBottom w:val="0"/>
      <w:divBdr>
        <w:top w:val="none" w:sz="0" w:space="0" w:color="auto"/>
        <w:left w:val="none" w:sz="0" w:space="0" w:color="auto"/>
        <w:bottom w:val="none" w:sz="0" w:space="0" w:color="auto"/>
        <w:right w:val="none" w:sz="0" w:space="0" w:color="auto"/>
      </w:divBdr>
      <w:divsChild>
        <w:div w:id="1471240322">
          <w:marLeft w:val="0"/>
          <w:marRight w:val="0"/>
          <w:marTop w:val="0"/>
          <w:marBottom w:val="0"/>
          <w:divBdr>
            <w:top w:val="none" w:sz="0" w:space="0" w:color="auto"/>
            <w:left w:val="single" w:sz="6" w:space="0" w:color="BBBBBB"/>
            <w:bottom w:val="single" w:sz="6" w:space="0" w:color="BBBBBB"/>
            <w:right w:val="single" w:sz="6" w:space="0" w:color="BBBBBB"/>
          </w:divBdr>
          <w:divsChild>
            <w:div w:id="383062763">
              <w:marLeft w:val="0"/>
              <w:marRight w:val="0"/>
              <w:marTop w:val="0"/>
              <w:marBottom w:val="0"/>
              <w:divBdr>
                <w:top w:val="none" w:sz="0" w:space="0" w:color="auto"/>
                <w:left w:val="none" w:sz="0" w:space="0" w:color="auto"/>
                <w:bottom w:val="none" w:sz="0" w:space="0" w:color="auto"/>
                <w:right w:val="none" w:sz="0" w:space="0" w:color="auto"/>
              </w:divBdr>
              <w:divsChild>
                <w:div w:id="1868912530">
                  <w:marLeft w:val="0"/>
                  <w:marRight w:val="0"/>
                  <w:marTop w:val="0"/>
                  <w:marBottom w:val="0"/>
                  <w:divBdr>
                    <w:top w:val="none" w:sz="0" w:space="0" w:color="auto"/>
                    <w:left w:val="none" w:sz="0" w:space="0" w:color="auto"/>
                    <w:bottom w:val="none" w:sz="0" w:space="0" w:color="auto"/>
                    <w:right w:val="none" w:sz="0" w:space="0" w:color="auto"/>
                  </w:divBdr>
                  <w:divsChild>
                    <w:div w:id="1732732805">
                      <w:marLeft w:val="0"/>
                      <w:marRight w:val="0"/>
                      <w:marTop w:val="0"/>
                      <w:marBottom w:val="0"/>
                      <w:divBdr>
                        <w:top w:val="none" w:sz="0" w:space="0" w:color="auto"/>
                        <w:left w:val="none" w:sz="0" w:space="0" w:color="auto"/>
                        <w:bottom w:val="none" w:sz="0" w:space="0" w:color="auto"/>
                        <w:right w:val="none" w:sz="0" w:space="0" w:color="auto"/>
                      </w:divBdr>
                      <w:divsChild>
                        <w:div w:id="371617649">
                          <w:marLeft w:val="0"/>
                          <w:marRight w:val="0"/>
                          <w:marTop w:val="0"/>
                          <w:marBottom w:val="0"/>
                          <w:divBdr>
                            <w:top w:val="none" w:sz="0" w:space="0" w:color="auto"/>
                            <w:left w:val="none" w:sz="0" w:space="0" w:color="auto"/>
                            <w:bottom w:val="none" w:sz="0" w:space="0" w:color="auto"/>
                            <w:right w:val="none" w:sz="0" w:space="0" w:color="auto"/>
                          </w:divBdr>
                          <w:divsChild>
                            <w:div w:id="293099767">
                              <w:marLeft w:val="0"/>
                              <w:marRight w:val="0"/>
                              <w:marTop w:val="0"/>
                              <w:marBottom w:val="0"/>
                              <w:divBdr>
                                <w:top w:val="none" w:sz="0" w:space="0" w:color="auto"/>
                                <w:left w:val="none" w:sz="0" w:space="0" w:color="auto"/>
                                <w:bottom w:val="none" w:sz="0" w:space="0" w:color="auto"/>
                                <w:right w:val="none" w:sz="0" w:space="0" w:color="auto"/>
                              </w:divBdr>
                              <w:divsChild>
                                <w:div w:id="266469643">
                                  <w:marLeft w:val="0"/>
                                  <w:marRight w:val="0"/>
                                  <w:marTop w:val="0"/>
                                  <w:marBottom w:val="0"/>
                                  <w:divBdr>
                                    <w:top w:val="none" w:sz="0" w:space="0" w:color="auto"/>
                                    <w:left w:val="none" w:sz="0" w:space="0" w:color="auto"/>
                                    <w:bottom w:val="none" w:sz="0" w:space="0" w:color="auto"/>
                                    <w:right w:val="none" w:sz="0" w:space="0" w:color="auto"/>
                                  </w:divBdr>
                                  <w:divsChild>
                                    <w:div w:id="8870285">
                                      <w:marLeft w:val="0"/>
                                      <w:marRight w:val="0"/>
                                      <w:marTop w:val="0"/>
                                      <w:marBottom w:val="0"/>
                                      <w:divBdr>
                                        <w:top w:val="none" w:sz="0" w:space="0" w:color="auto"/>
                                        <w:left w:val="none" w:sz="0" w:space="0" w:color="auto"/>
                                        <w:bottom w:val="none" w:sz="0" w:space="0" w:color="auto"/>
                                        <w:right w:val="none" w:sz="0" w:space="0" w:color="auto"/>
                                      </w:divBdr>
                                      <w:divsChild>
                                        <w:div w:id="795298234">
                                          <w:marLeft w:val="1200"/>
                                          <w:marRight w:val="1200"/>
                                          <w:marTop w:val="0"/>
                                          <w:marBottom w:val="0"/>
                                          <w:divBdr>
                                            <w:top w:val="none" w:sz="0" w:space="0" w:color="auto"/>
                                            <w:left w:val="none" w:sz="0" w:space="0" w:color="auto"/>
                                            <w:bottom w:val="none" w:sz="0" w:space="0" w:color="auto"/>
                                            <w:right w:val="none" w:sz="0" w:space="0" w:color="auto"/>
                                          </w:divBdr>
                                          <w:divsChild>
                                            <w:div w:id="855114059">
                                              <w:marLeft w:val="0"/>
                                              <w:marRight w:val="0"/>
                                              <w:marTop w:val="0"/>
                                              <w:marBottom w:val="0"/>
                                              <w:divBdr>
                                                <w:top w:val="none" w:sz="0" w:space="0" w:color="auto"/>
                                                <w:left w:val="none" w:sz="0" w:space="0" w:color="auto"/>
                                                <w:bottom w:val="none" w:sz="0" w:space="0" w:color="auto"/>
                                                <w:right w:val="none" w:sz="0" w:space="0" w:color="auto"/>
                                              </w:divBdr>
                                              <w:divsChild>
                                                <w:div w:id="1154955866">
                                                  <w:marLeft w:val="0"/>
                                                  <w:marRight w:val="0"/>
                                                  <w:marTop w:val="0"/>
                                                  <w:marBottom w:val="0"/>
                                                  <w:divBdr>
                                                    <w:top w:val="none" w:sz="0" w:space="0" w:color="auto"/>
                                                    <w:left w:val="none" w:sz="0" w:space="0" w:color="auto"/>
                                                    <w:bottom w:val="none" w:sz="0" w:space="0" w:color="auto"/>
                                                    <w:right w:val="none" w:sz="0" w:space="0" w:color="auto"/>
                                                  </w:divBdr>
                                                  <w:divsChild>
                                                    <w:div w:id="177012938">
                                                      <w:marLeft w:val="0"/>
                                                      <w:marRight w:val="0"/>
                                                      <w:marTop w:val="0"/>
                                                      <w:marBottom w:val="0"/>
                                                      <w:divBdr>
                                                        <w:top w:val="none" w:sz="0" w:space="0" w:color="auto"/>
                                                        <w:left w:val="none" w:sz="0" w:space="0" w:color="auto"/>
                                                        <w:bottom w:val="none" w:sz="0" w:space="0" w:color="auto"/>
                                                        <w:right w:val="none" w:sz="0" w:space="0" w:color="auto"/>
                                                      </w:divBdr>
                                                      <w:divsChild>
                                                        <w:div w:id="1429544979">
                                                          <w:marLeft w:val="0"/>
                                                          <w:marRight w:val="0"/>
                                                          <w:marTop w:val="0"/>
                                                          <w:marBottom w:val="0"/>
                                                          <w:divBdr>
                                                            <w:top w:val="none" w:sz="0" w:space="0" w:color="auto"/>
                                                            <w:left w:val="none" w:sz="0" w:space="0" w:color="auto"/>
                                                            <w:bottom w:val="none" w:sz="0" w:space="0" w:color="auto"/>
                                                            <w:right w:val="none" w:sz="0" w:space="0" w:color="auto"/>
                                                          </w:divBdr>
                                                          <w:divsChild>
                                                            <w:div w:id="1416515638">
                                                              <w:marLeft w:val="0"/>
                                                              <w:marRight w:val="0"/>
                                                              <w:marTop w:val="0"/>
                                                              <w:marBottom w:val="0"/>
                                                              <w:divBdr>
                                                                <w:top w:val="none" w:sz="0" w:space="0" w:color="auto"/>
                                                                <w:left w:val="none" w:sz="0" w:space="0" w:color="auto"/>
                                                                <w:bottom w:val="none" w:sz="0" w:space="0" w:color="auto"/>
                                                                <w:right w:val="none" w:sz="0" w:space="0" w:color="auto"/>
                                                              </w:divBdr>
                                                              <w:divsChild>
                                                                <w:div w:id="1193418062">
                                                                  <w:marLeft w:val="0"/>
                                                                  <w:marRight w:val="0"/>
                                                                  <w:marTop w:val="0"/>
                                                                  <w:marBottom w:val="0"/>
                                                                  <w:divBdr>
                                                                    <w:top w:val="none" w:sz="0" w:space="0" w:color="auto"/>
                                                                    <w:left w:val="none" w:sz="0" w:space="0" w:color="auto"/>
                                                                    <w:bottom w:val="none" w:sz="0" w:space="0" w:color="auto"/>
                                                                    <w:right w:val="none" w:sz="0" w:space="0" w:color="auto"/>
                                                                  </w:divBdr>
                                                                  <w:divsChild>
                                                                    <w:div w:id="50350177">
                                                                      <w:marLeft w:val="0"/>
                                                                      <w:marRight w:val="0"/>
                                                                      <w:marTop w:val="0"/>
                                                                      <w:marBottom w:val="0"/>
                                                                      <w:divBdr>
                                                                        <w:top w:val="none" w:sz="0" w:space="0" w:color="auto"/>
                                                                        <w:left w:val="none" w:sz="0" w:space="0" w:color="auto"/>
                                                                        <w:bottom w:val="none" w:sz="0" w:space="0" w:color="auto"/>
                                                                        <w:right w:val="none" w:sz="0" w:space="0" w:color="auto"/>
                                                                      </w:divBdr>
                                                                      <w:divsChild>
                                                                        <w:div w:id="6840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343281">
      <w:bodyDiv w:val="1"/>
      <w:marLeft w:val="0"/>
      <w:marRight w:val="0"/>
      <w:marTop w:val="0"/>
      <w:marBottom w:val="0"/>
      <w:divBdr>
        <w:top w:val="none" w:sz="0" w:space="0" w:color="auto"/>
        <w:left w:val="none" w:sz="0" w:space="0" w:color="auto"/>
        <w:bottom w:val="none" w:sz="0" w:space="0" w:color="auto"/>
        <w:right w:val="none" w:sz="0" w:space="0" w:color="auto"/>
      </w:divBdr>
      <w:divsChild>
        <w:div w:id="674651060">
          <w:marLeft w:val="0"/>
          <w:marRight w:val="0"/>
          <w:marTop w:val="0"/>
          <w:marBottom w:val="0"/>
          <w:divBdr>
            <w:top w:val="none" w:sz="0" w:space="0" w:color="auto"/>
            <w:left w:val="none" w:sz="0" w:space="0" w:color="auto"/>
            <w:bottom w:val="none" w:sz="0" w:space="0" w:color="auto"/>
            <w:right w:val="none" w:sz="0" w:space="0" w:color="auto"/>
          </w:divBdr>
          <w:divsChild>
            <w:div w:id="1721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5461">
      <w:bodyDiv w:val="1"/>
      <w:marLeft w:val="0"/>
      <w:marRight w:val="0"/>
      <w:marTop w:val="0"/>
      <w:marBottom w:val="0"/>
      <w:divBdr>
        <w:top w:val="none" w:sz="0" w:space="0" w:color="auto"/>
        <w:left w:val="none" w:sz="0" w:space="0" w:color="auto"/>
        <w:bottom w:val="none" w:sz="0" w:space="0" w:color="auto"/>
        <w:right w:val="none" w:sz="0" w:space="0" w:color="auto"/>
      </w:divBdr>
      <w:divsChild>
        <w:div w:id="247496353">
          <w:marLeft w:val="0"/>
          <w:marRight w:val="0"/>
          <w:marTop w:val="0"/>
          <w:marBottom w:val="0"/>
          <w:divBdr>
            <w:top w:val="none" w:sz="0" w:space="0" w:color="auto"/>
            <w:left w:val="none" w:sz="0" w:space="0" w:color="auto"/>
            <w:bottom w:val="none" w:sz="0" w:space="0" w:color="auto"/>
            <w:right w:val="none" w:sz="0" w:space="0" w:color="auto"/>
          </w:divBdr>
          <w:divsChild>
            <w:div w:id="17498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2605">
      <w:bodyDiv w:val="1"/>
      <w:marLeft w:val="0"/>
      <w:marRight w:val="0"/>
      <w:marTop w:val="0"/>
      <w:marBottom w:val="0"/>
      <w:divBdr>
        <w:top w:val="none" w:sz="0" w:space="0" w:color="auto"/>
        <w:left w:val="none" w:sz="0" w:space="0" w:color="auto"/>
        <w:bottom w:val="none" w:sz="0" w:space="0" w:color="auto"/>
        <w:right w:val="none" w:sz="0" w:space="0" w:color="auto"/>
      </w:divBdr>
      <w:divsChild>
        <w:div w:id="862716155">
          <w:marLeft w:val="0"/>
          <w:marRight w:val="0"/>
          <w:marTop w:val="0"/>
          <w:marBottom w:val="0"/>
          <w:divBdr>
            <w:top w:val="none" w:sz="0" w:space="0" w:color="auto"/>
            <w:left w:val="none" w:sz="0" w:space="0" w:color="auto"/>
            <w:bottom w:val="none" w:sz="0" w:space="0" w:color="auto"/>
            <w:right w:val="none" w:sz="0" w:space="0" w:color="auto"/>
          </w:divBdr>
          <w:divsChild>
            <w:div w:id="16875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41602">
      <w:bodyDiv w:val="1"/>
      <w:marLeft w:val="0"/>
      <w:marRight w:val="0"/>
      <w:marTop w:val="0"/>
      <w:marBottom w:val="0"/>
      <w:divBdr>
        <w:top w:val="none" w:sz="0" w:space="0" w:color="auto"/>
        <w:left w:val="none" w:sz="0" w:space="0" w:color="auto"/>
        <w:bottom w:val="none" w:sz="0" w:space="0" w:color="auto"/>
        <w:right w:val="none" w:sz="0" w:space="0" w:color="auto"/>
      </w:divBdr>
      <w:divsChild>
        <w:div w:id="1668481502">
          <w:marLeft w:val="0"/>
          <w:marRight w:val="0"/>
          <w:marTop w:val="0"/>
          <w:marBottom w:val="0"/>
          <w:divBdr>
            <w:top w:val="none" w:sz="0" w:space="0" w:color="auto"/>
            <w:left w:val="none" w:sz="0" w:space="0" w:color="auto"/>
            <w:bottom w:val="none" w:sz="0" w:space="0" w:color="auto"/>
            <w:right w:val="none" w:sz="0" w:space="0" w:color="auto"/>
          </w:divBdr>
          <w:divsChild>
            <w:div w:id="1238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2409">
      <w:bodyDiv w:val="1"/>
      <w:marLeft w:val="0"/>
      <w:marRight w:val="0"/>
      <w:marTop w:val="0"/>
      <w:marBottom w:val="0"/>
      <w:divBdr>
        <w:top w:val="none" w:sz="0" w:space="0" w:color="auto"/>
        <w:left w:val="none" w:sz="0" w:space="0" w:color="auto"/>
        <w:bottom w:val="none" w:sz="0" w:space="0" w:color="auto"/>
        <w:right w:val="none" w:sz="0" w:space="0" w:color="auto"/>
      </w:divBdr>
      <w:divsChild>
        <w:div w:id="1218934970">
          <w:marLeft w:val="0"/>
          <w:marRight w:val="0"/>
          <w:marTop w:val="0"/>
          <w:marBottom w:val="0"/>
          <w:divBdr>
            <w:top w:val="none" w:sz="0" w:space="0" w:color="auto"/>
            <w:left w:val="none" w:sz="0" w:space="0" w:color="auto"/>
            <w:bottom w:val="none" w:sz="0" w:space="0" w:color="auto"/>
            <w:right w:val="none" w:sz="0" w:space="0" w:color="auto"/>
          </w:divBdr>
          <w:divsChild>
            <w:div w:id="2343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0395">
      <w:bodyDiv w:val="1"/>
      <w:marLeft w:val="0"/>
      <w:marRight w:val="0"/>
      <w:marTop w:val="0"/>
      <w:marBottom w:val="0"/>
      <w:divBdr>
        <w:top w:val="none" w:sz="0" w:space="0" w:color="auto"/>
        <w:left w:val="none" w:sz="0" w:space="0" w:color="auto"/>
        <w:bottom w:val="none" w:sz="0" w:space="0" w:color="auto"/>
        <w:right w:val="none" w:sz="0" w:space="0" w:color="auto"/>
      </w:divBdr>
      <w:divsChild>
        <w:div w:id="1436636453">
          <w:marLeft w:val="0"/>
          <w:marRight w:val="0"/>
          <w:marTop w:val="0"/>
          <w:marBottom w:val="0"/>
          <w:divBdr>
            <w:top w:val="none" w:sz="0" w:space="0" w:color="auto"/>
            <w:left w:val="none" w:sz="0" w:space="0" w:color="auto"/>
            <w:bottom w:val="none" w:sz="0" w:space="0" w:color="auto"/>
            <w:right w:val="none" w:sz="0" w:space="0" w:color="auto"/>
          </w:divBdr>
          <w:divsChild>
            <w:div w:id="17765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08685">
      <w:bodyDiv w:val="1"/>
      <w:marLeft w:val="0"/>
      <w:marRight w:val="0"/>
      <w:marTop w:val="0"/>
      <w:marBottom w:val="0"/>
      <w:divBdr>
        <w:top w:val="none" w:sz="0" w:space="0" w:color="auto"/>
        <w:left w:val="none" w:sz="0" w:space="0" w:color="auto"/>
        <w:bottom w:val="none" w:sz="0" w:space="0" w:color="auto"/>
        <w:right w:val="none" w:sz="0" w:space="0" w:color="auto"/>
      </w:divBdr>
      <w:divsChild>
        <w:div w:id="1155727968">
          <w:marLeft w:val="0"/>
          <w:marRight w:val="0"/>
          <w:marTop w:val="0"/>
          <w:marBottom w:val="0"/>
          <w:divBdr>
            <w:top w:val="none" w:sz="0" w:space="0" w:color="auto"/>
            <w:left w:val="none" w:sz="0" w:space="0" w:color="auto"/>
            <w:bottom w:val="none" w:sz="0" w:space="0" w:color="auto"/>
            <w:right w:val="none" w:sz="0" w:space="0" w:color="auto"/>
          </w:divBdr>
          <w:divsChild>
            <w:div w:id="19234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89072">
      <w:bodyDiv w:val="1"/>
      <w:marLeft w:val="0"/>
      <w:marRight w:val="0"/>
      <w:marTop w:val="0"/>
      <w:marBottom w:val="0"/>
      <w:divBdr>
        <w:top w:val="none" w:sz="0" w:space="0" w:color="auto"/>
        <w:left w:val="none" w:sz="0" w:space="0" w:color="auto"/>
        <w:bottom w:val="none" w:sz="0" w:space="0" w:color="auto"/>
        <w:right w:val="none" w:sz="0" w:space="0" w:color="auto"/>
      </w:divBdr>
      <w:divsChild>
        <w:div w:id="2092581690">
          <w:marLeft w:val="0"/>
          <w:marRight w:val="0"/>
          <w:marTop w:val="0"/>
          <w:marBottom w:val="0"/>
          <w:divBdr>
            <w:top w:val="none" w:sz="0" w:space="0" w:color="auto"/>
            <w:left w:val="none" w:sz="0" w:space="0" w:color="auto"/>
            <w:bottom w:val="none" w:sz="0" w:space="0" w:color="auto"/>
            <w:right w:val="none" w:sz="0" w:space="0" w:color="auto"/>
          </w:divBdr>
          <w:divsChild>
            <w:div w:id="353701278">
              <w:marLeft w:val="0"/>
              <w:marRight w:val="0"/>
              <w:marTop w:val="0"/>
              <w:marBottom w:val="0"/>
              <w:divBdr>
                <w:top w:val="none" w:sz="0" w:space="0" w:color="auto"/>
                <w:left w:val="single" w:sz="4" w:space="0" w:color="B4B2B2"/>
                <w:bottom w:val="none" w:sz="0" w:space="0" w:color="auto"/>
                <w:right w:val="single" w:sz="4" w:space="0" w:color="B4B2B2"/>
              </w:divBdr>
              <w:divsChild>
                <w:div w:id="1126311739">
                  <w:marLeft w:val="0"/>
                  <w:marRight w:val="0"/>
                  <w:marTop w:val="0"/>
                  <w:marBottom w:val="0"/>
                  <w:divBdr>
                    <w:top w:val="none" w:sz="0" w:space="0" w:color="auto"/>
                    <w:left w:val="none" w:sz="0" w:space="0" w:color="auto"/>
                    <w:bottom w:val="none" w:sz="0" w:space="0" w:color="auto"/>
                    <w:right w:val="none" w:sz="0" w:space="0" w:color="auto"/>
                  </w:divBdr>
                  <w:divsChild>
                    <w:div w:id="787551208">
                      <w:marLeft w:val="0"/>
                      <w:marRight w:val="0"/>
                      <w:marTop w:val="0"/>
                      <w:marBottom w:val="0"/>
                      <w:divBdr>
                        <w:top w:val="none" w:sz="0" w:space="0" w:color="auto"/>
                        <w:left w:val="none" w:sz="0" w:space="0" w:color="auto"/>
                        <w:bottom w:val="none" w:sz="0" w:space="0" w:color="auto"/>
                        <w:right w:val="none" w:sz="0" w:space="0" w:color="auto"/>
                      </w:divBdr>
                      <w:divsChild>
                        <w:div w:id="83575951">
                          <w:marLeft w:val="0"/>
                          <w:marRight w:val="0"/>
                          <w:marTop w:val="0"/>
                          <w:marBottom w:val="0"/>
                          <w:divBdr>
                            <w:top w:val="none" w:sz="0" w:space="0" w:color="auto"/>
                            <w:left w:val="none" w:sz="0" w:space="0" w:color="auto"/>
                            <w:bottom w:val="none" w:sz="0" w:space="0" w:color="auto"/>
                            <w:right w:val="none" w:sz="0" w:space="0" w:color="auto"/>
                          </w:divBdr>
                          <w:divsChild>
                            <w:div w:id="648707758">
                              <w:marLeft w:val="0"/>
                              <w:marRight w:val="0"/>
                              <w:marTop w:val="0"/>
                              <w:marBottom w:val="0"/>
                              <w:divBdr>
                                <w:top w:val="none" w:sz="0" w:space="0" w:color="auto"/>
                                <w:left w:val="none" w:sz="0" w:space="0" w:color="auto"/>
                                <w:bottom w:val="single" w:sz="12" w:space="18" w:color="000000"/>
                                <w:right w:val="none" w:sz="0" w:space="0" w:color="auto"/>
                              </w:divBdr>
                              <w:divsChild>
                                <w:div w:id="6005756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39437">
      <w:bodyDiv w:val="1"/>
      <w:marLeft w:val="0"/>
      <w:marRight w:val="0"/>
      <w:marTop w:val="0"/>
      <w:marBottom w:val="0"/>
      <w:divBdr>
        <w:top w:val="none" w:sz="0" w:space="0" w:color="auto"/>
        <w:left w:val="none" w:sz="0" w:space="0" w:color="auto"/>
        <w:bottom w:val="none" w:sz="0" w:space="0" w:color="auto"/>
        <w:right w:val="none" w:sz="0" w:space="0" w:color="auto"/>
      </w:divBdr>
      <w:divsChild>
        <w:div w:id="575555039">
          <w:marLeft w:val="0"/>
          <w:marRight w:val="0"/>
          <w:marTop w:val="0"/>
          <w:marBottom w:val="0"/>
          <w:divBdr>
            <w:top w:val="none" w:sz="0" w:space="0" w:color="auto"/>
            <w:left w:val="none" w:sz="0" w:space="0" w:color="auto"/>
            <w:bottom w:val="none" w:sz="0" w:space="0" w:color="auto"/>
            <w:right w:val="none" w:sz="0" w:space="0" w:color="auto"/>
          </w:divBdr>
          <w:divsChild>
            <w:div w:id="3943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16775">
      <w:bodyDiv w:val="1"/>
      <w:marLeft w:val="0"/>
      <w:marRight w:val="0"/>
      <w:marTop w:val="0"/>
      <w:marBottom w:val="0"/>
      <w:divBdr>
        <w:top w:val="none" w:sz="0" w:space="0" w:color="auto"/>
        <w:left w:val="none" w:sz="0" w:space="0" w:color="auto"/>
        <w:bottom w:val="none" w:sz="0" w:space="0" w:color="auto"/>
        <w:right w:val="none" w:sz="0" w:space="0" w:color="auto"/>
      </w:divBdr>
      <w:divsChild>
        <w:div w:id="1778597596">
          <w:marLeft w:val="0"/>
          <w:marRight w:val="0"/>
          <w:marTop w:val="0"/>
          <w:marBottom w:val="0"/>
          <w:divBdr>
            <w:top w:val="none" w:sz="0" w:space="0" w:color="auto"/>
            <w:left w:val="single" w:sz="6" w:space="0" w:color="BBBBBB"/>
            <w:bottom w:val="single" w:sz="6" w:space="0" w:color="BBBBBB"/>
            <w:right w:val="single" w:sz="6" w:space="0" w:color="BBBBBB"/>
          </w:divBdr>
          <w:divsChild>
            <w:div w:id="617874044">
              <w:marLeft w:val="0"/>
              <w:marRight w:val="0"/>
              <w:marTop w:val="0"/>
              <w:marBottom w:val="0"/>
              <w:divBdr>
                <w:top w:val="none" w:sz="0" w:space="0" w:color="auto"/>
                <w:left w:val="none" w:sz="0" w:space="0" w:color="auto"/>
                <w:bottom w:val="none" w:sz="0" w:space="0" w:color="auto"/>
                <w:right w:val="none" w:sz="0" w:space="0" w:color="auto"/>
              </w:divBdr>
              <w:divsChild>
                <w:div w:id="35857818">
                  <w:marLeft w:val="0"/>
                  <w:marRight w:val="0"/>
                  <w:marTop w:val="0"/>
                  <w:marBottom w:val="0"/>
                  <w:divBdr>
                    <w:top w:val="none" w:sz="0" w:space="0" w:color="auto"/>
                    <w:left w:val="none" w:sz="0" w:space="0" w:color="auto"/>
                    <w:bottom w:val="none" w:sz="0" w:space="0" w:color="auto"/>
                    <w:right w:val="none" w:sz="0" w:space="0" w:color="auto"/>
                  </w:divBdr>
                  <w:divsChild>
                    <w:div w:id="546262765">
                      <w:marLeft w:val="0"/>
                      <w:marRight w:val="0"/>
                      <w:marTop w:val="0"/>
                      <w:marBottom w:val="0"/>
                      <w:divBdr>
                        <w:top w:val="none" w:sz="0" w:space="0" w:color="auto"/>
                        <w:left w:val="none" w:sz="0" w:space="0" w:color="auto"/>
                        <w:bottom w:val="none" w:sz="0" w:space="0" w:color="auto"/>
                        <w:right w:val="none" w:sz="0" w:space="0" w:color="auto"/>
                      </w:divBdr>
                      <w:divsChild>
                        <w:div w:id="515577415">
                          <w:marLeft w:val="0"/>
                          <w:marRight w:val="0"/>
                          <w:marTop w:val="0"/>
                          <w:marBottom w:val="0"/>
                          <w:divBdr>
                            <w:top w:val="none" w:sz="0" w:space="0" w:color="auto"/>
                            <w:left w:val="none" w:sz="0" w:space="0" w:color="auto"/>
                            <w:bottom w:val="none" w:sz="0" w:space="0" w:color="auto"/>
                            <w:right w:val="none" w:sz="0" w:space="0" w:color="auto"/>
                          </w:divBdr>
                          <w:divsChild>
                            <w:div w:id="973412258">
                              <w:marLeft w:val="0"/>
                              <w:marRight w:val="0"/>
                              <w:marTop w:val="0"/>
                              <w:marBottom w:val="0"/>
                              <w:divBdr>
                                <w:top w:val="none" w:sz="0" w:space="0" w:color="auto"/>
                                <w:left w:val="none" w:sz="0" w:space="0" w:color="auto"/>
                                <w:bottom w:val="none" w:sz="0" w:space="0" w:color="auto"/>
                                <w:right w:val="none" w:sz="0" w:space="0" w:color="auto"/>
                              </w:divBdr>
                              <w:divsChild>
                                <w:div w:id="529226590">
                                  <w:marLeft w:val="0"/>
                                  <w:marRight w:val="0"/>
                                  <w:marTop w:val="0"/>
                                  <w:marBottom w:val="0"/>
                                  <w:divBdr>
                                    <w:top w:val="none" w:sz="0" w:space="0" w:color="auto"/>
                                    <w:left w:val="none" w:sz="0" w:space="0" w:color="auto"/>
                                    <w:bottom w:val="none" w:sz="0" w:space="0" w:color="auto"/>
                                    <w:right w:val="none" w:sz="0" w:space="0" w:color="auto"/>
                                  </w:divBdr>
                                  <w:divsChild>
                                    <w:div w:id="1910531827">
                                      <w:marLeft w:val="0"/>
                                      <w:marRight w:val="0"/>
                                      <w:marTop w:val="0"/>
                                      <w:marBottom w:val="0"/>
                                      <w:divBdr>
                                        <w:top w:val="none" w:sz="0" w:space="0" w:color="auto"/>
                                        <w:left w:val="none" w:sz="0" w:space="0" w:color="auto"/>
                                        <w:bottom w:val="none" w:sz="0" w:space="0" w:color="auto"/>
                                        <w:right w:val="none" w:sz="0" w:space="0" w:color="auto"/>
                                      </w:divBdr>
                                      <w:divsChild>
                                        <w:div w:id="1482455849">
                                          <w:marLeft w:val="1200"/>
                                          <w:marRight w:val="1200"/>
                                          <w:marTop w:val="0"/>
                                          <w:marBottom w:val="0"/>
                                          <w:divBdr>
                                            <w:top w:val="none" w:sz="0" w:space="0" w:color="auto"/>
                                            <w:left w:val="none" w:sz="0" w:space="0" w:color="auto"/>
                                            <w:bottom w:val="none" w:sz="0" w:space="0" w:color="auto"/>
                                            <w:right w:val="none" w:sz="0" w:space="0" w:color="auto"/>
                                          </w:divBdr>
                                          <w:divsChild>
                                            <w:div w:id="1819955715">
                                              <w:marLeft w:val="0"/>
                                              <w:marRight w:val="0"/>
                                              <w:marTop w:val="0"/>
                                              <w:marBottom w:val="0"/>
                                              <w:divBdr>
                                                <w:top w:val="none" w:sz="0" w:space="0" w:color="auto"/>
                                                <w:left w:val="none" w:sz="0" w:space="0" w:color="auto"/>
                                                <w:bottom w:val="none" w:sz="0" w:space="0" w:color="auto"/>
                                                <w:right w:val="none" w:sz="0" w:space="0" w:color="auto"/>
                                              </w:divBdr>
                                              <w:divsChild>
                                                <w:div w:id="808284634">
                                                  <w:marLeft w:val="0"/>
                                                  <w:marRight w:val="0"/>
                                                  <w:marTop w:val="0"/>
                                                  <w:marBottom w:val="0"/>
                                                  <w:divBdr>
                                                    <w:top w:val="none" w:sz="0" w:space="0" w:color="auto"/>
                                                    <w:left w:val="none" w:sz="0" w:space="0" w:color="auto"/>
                                                    <w:bottom w:val="none" w:sz="0" w:space="0" w:color="auto"/>
                                                    <w:right w:val="none" w:sz="0" w:space="0" w:color="auto"/>
                                                  </w:divBdr>
                                                  <w:divsChild>
                                                    <w:div w:id="628702400">
                                                      <w:marLeft w:val="0"/>
                                                      <w:marRight w:val="0"/>
                                                      <w:marTop w:val="0"/>
                                                      <w:marBottom w:val="0"/>
                                                      <w:divBdr>
                                                        <w:top w:val="none" w:sz="0" w:space="0" w:color="auto"/>
                                                        <w:left w:val="none" w:sz="0" w:space="0" w:color="auto"/>
                                                        <w:bottom w:val="none" w:sz="0" w:space="0" w:color="auto"/>
                                                        <w:right w:val="none" w:sz="0" w:space="0" w:color="auto"/>
                                                      </w:divBdr>
                                                      <w:divsChild>
                                                        <w:div w:id="944969624">
                                                          <w:marLeft w:val="0"/>
                                                          <w:marRight w:val="0"/>
                                                          <w:marTop w:val="0"/>
                                                          <w:marBottom w:val="0"/>
                                                          <w:divBdr>
                                                            <w:top w:val="none" w:sz="0" w:space="0" w:color="auto"/>
                                                            <w:left w:val="none" w:sz="0" w:space="0" w:color="auto"/>
                                                            <w:bottom w:val="none" w:sz="0" w:space="0" w:color="auto"/>
                                                            <w:right w:val="none" w:sz="0" w:space="0" w:color="auto"/>
                                                          </w:divBdr>
                                                          <w:divsChild>
                                                            <w:div w:id="602301782">
                                                              <w:marLeft w:val="0"/>
                                                              <w:marRight w:val="0"/>
                                                              <w:marTop w:val="0"/>
                                                              <w:marBottom w:val="0"/>
                                                              <w:divBdr>
                                                                <w:top w:val="none" w:sz="0" w:space="0" w:color="auto"/>
                                                                <w:left w:val="none" w:sz="0" w:space="0" w:color="auto"/>
                                                                <w:bottom w:val="none" w:sz="0" w:space="0" w:color="auto"/>
                                                                <w:right w:val="none" w:sz="0" w:space="0" w:color="auto"/>
                                                              </w:divBdr>
                                                              <w:divsChild>
                                                                <w:div w:id="336226295">
                                                                  <w:marLeft w:val="0"/>
                                                                  <w:marRight w:val="0"/>
                                                                  <w:marTop w:val="0"/>
                                                                  <w:marBottom w:val="0"/>
                                                                  <w:divBdr>
                                                                    <w:top w:val="none" w:sz="0" w:space="0" w:color="auto"/>
                                                                    <w:left w:val="none" w:sz="0" w:space="0" w:color="auto"/>
                                                                    <w:bottom w:val="none" w:sz="0" w:space="0" w:color="auto"/>
                                                                    <w:right w:val="none" w:sz="0" w:space="0" w:color="auto"/>
                                                                  </w:divBdr>
                                                                  <w:divsChild>
                                                                    <w:div w:id="901869763">
                                                                      <w:marLeft w:val="0"/>
                                                                      <w:marRight w:val="0"/>
                                                                      <w:marTop w:val="0"/>
                                                                      <w:marBottom w:val="0"/>
                                                                      <w:divBdr>
                                                                        <w:top w:val="none" w:sz="0" w:space="0" w:color="auto"/>
                                                                        <w:left w:val="none" w:sz="0" w:space="0" w:color="auto"/>
                                                                        <w:bottom w:val="none" w:sz="0" w:space="0" w:color="auto"/>
                                                                        <w:right w:val="none" w:sz="0" w:space="0" w:color="auto"/>
                                                                      </w:divBdr>
                                                                      <w:divsChild>
                                                                        <w:div w:id="21030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757239">
      <w:bodyDiv w:val="1"/>
      <w:marLeft w:val="0"/>
      <w:marRight w:val="0"/>
      <w:marTop w:val="0"/>
      <w:marBottom w:val="0"/>
      <w:divBdr>
        <w:top w:val="none" w:sz="0" w:space="0" w:color="auto"/>
        <w:left w:val="none" w:sz="0" w:space="0" w:color="auto"/>
        <w:bottom w:val="none" w:sz="0" w:space="0" w:color="auto"/>
        <w:right w:val="none" w:sz="0" w:space="0" w:color="auto"/>
      </w:divBdr>
      <w:divsChild>
        <w:div w:id="1599437710">
          <w:marLeft w:val="0"/>
          <w:marRight w:val="0"/>
          <w:marTop w:val="0"/>
          <w:marBottom w:val="0"/>
          <w:divBdr>
            <w:top w:val="none" w:sz="0" w:space="0" w:color="auto"/>
            <w:left w:val="none" w:sz="0" w:space="0" w:color="auto"/>
            <w:bottom w:val="none" w:sz="0" w:space="0" w:color="auto"/>
            <w:right w:val="none" w:sz="0" w:space="0" w:color="auto"/>
          </w:divBdr>
          <w:divsChild>
            <w:div w:id="20429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7710">
      <w:bodyDiv w:val="1"/>
      <w:marLeft w:val="0"/>
      <w:marRight w:val="0"/>
      <w:marTop w:val="0"/>
      <w:marBottom w:val="0"/>
      <w:divBdr>
        <w:top w:val="none" w:sz="0" w:space="0" w:color="auto"/>
        <w:left w:val="none" w:sz="0" w:space="0" w:color="auto"/>
        <w:bottom w:val="none" w:sz="0" w:space="0" w:color="auto"/>
        <w:right w:val="none" w:sz="0" w:space="0" w:color="auto"/>
      </w:divBdr>
      <w:divsChild>
        <w:div w:id="370764638">
          <w:marLeft w:val="0"/>
          <w:marRight w:val="0"/>
          <w:marTop w:val="0"/>
          <w:marBottom w:val="0"/>
          <w:divBdr>
            <w:top w:val="none" w:sz="0" w:space="0" w:color="auto"/>
            <w:left w:val="none" w:sz="0" w:space="0" w:color="auto"/>
            <w:bottom w:val="none" w:sz="0" w:space="0" w:color="auto"/>
            <w:right w:val="none" w:sz="0" w:space="0" w:color="auto"/>
          </w:divBdr>
          <w:divsChild>
            <w:div w:id="2008166817">
              <w:marLeft w:val="0"/>
              <w:marRight w:val="0"/>
              <w:marTop w:val="0"/>
              <w:marBottom w:val="0"/>
              <w:divBdr>
                <w:top w:val="none" w:sz="0" w:space="0" w:color="auto"/>
                <w:left w:val="none" w:sz="0" w:space="0" w:color="auto"/>
                <w:bottom w:val="none" w:sz="0" w:space="0" w:color="auto"/>
                <w:right w:val="none" w:sz="0" w:space="0" w:color="auto"/>
              </w:divBdr>
            </w:div>
            <w:div w:id="20144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8725">
      <w:bodyDiv w:val="1"/>
      <w:marLeft w:val="0"/>
      <w:marRight w:val="0"/>
      <w:marTop w:val="0"/>
      <w:marBottom w:val="0"/>
      <w:divBdr>
        <w:top w:val="none" w:sz="0" w:space="0" w:color="auto"/>
        <w:left w:val="none" w:sz="0" w:space="0" w:color="auto"/>
        <w:bottom w:val="none" w:sz="0" w:space="0" w:color="auto"/>
        <w:right w:val="none" w:sz="0" w:space="0" w:color="auto"/>
      </w:divBdr>
      <w:divsChild>
        <w:div w:id="1344362470">
          <w:marLeft w:val="0"/>
          <w:marRight w:val="0"/>
          <w:marTop w:val="0"/>
          <w:marBottom w:val="0"/>
          <w:divBdr>
            <w:top w:val="none" w:sz="0" w:space="0" w:color="auto"/>
            <w:left w:val="none" w:sz="0" w:space="0" w:color="auto"/>
            <w:bottom w:val="none" w:sz="0" w:space="0" w:color="auto"/>
            <w:right w:val="none" w:sz="0" w:space="0" w:color="auto"/>
          </w:divBdr>
          <w:divsChild>
            <w:div w:id="13894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59281">
      <w:bodyDiv w:val="1"/>
      <w:marLeft w:val="0"/>
      <w:marRight w:val="0"/>
      <w:marTop w:val="0"/>
      <w:marBottom w:val="0"/>
      <w:divBdr>
        <w:top w:val="none" w:sz="0" w:space="0" w:color="auto"/>
        <w:left w:val="none" w:sz="0" w:space="0" w:color="auto"/>
        <w:bottom w:val="none" w:sz="0" w:space="0" w:color="auto"/>
        <w:right w:val="none" w:sz="0" w:space="0" w:color="auto"/>
      </w:divBdr>
      <w:divsChild>
        <w:div w:id="63963404">
          <w:marLeft w:val="0"/>
          <w:marRight w:val="0"/>
          <w:marTop w:val="0"/>
          <w:marBottom w:val="0"/>
          <w:divBdr>
            <w:top w:val="none" w:sz="0" w:space="0" w:color="auto"/>
            <w:left w:val="none" w:sz="0" w:space="0" w:color="auto"/>
            <w:bottom w:val="none" w:sz="0" w:space="0" w:color="auto"/>
            <w:right w:val="none" w:sz="0" w:space="0" w:color="auto"/>
          </w:divBdr>
          <w:divsChild>
            <w:div w:id="1103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5235">
      <w:bodyDiv w:val="1"/>
      <w:marLeft w:val="0"/>
      <w:marRight w:val="0"/>
      <w:marTop w:val="0"/>
      <w:marBottom w:val="0"/>
      <w:divBdr>
        <w:top w:val="none" w:sz="0" w:space="0" w:color="auto"/>
        <w:left w:val="none" w:sz="0" w:space="0" w:color="auto"/>
        <w:bottom w:val="none" w:sz="0" w:space="0" w:color="auto"/>
        <w:right w:val="none" w:sz="0" w:space="0" w:color="auto"/>
      </w:divBdr>
      <w:divsChild>
        <w:div w:id="74515771">
          <w:marLeft w:val="48"/>
          <w:marRight w:val="0"/>
          <w:marTop w:val="0"/>
          <w:marBottom w:val="0"/>
          <w:divBdr>
            <w:top w:val="none" w:sz="0" w:space="0" w:color="auto"/>
            <w:left w:val="none" w:sz="0" w:space="0" w:color="auto"/>
            <w:bottom w:val="none" w:sz="0" w:space="0" w:color="auto"/>
            <w:right w:val="none" w:sz="0" w:space="0" w:color="auto"/>
          </w:divBdr>
        </w:div>
      </w:divsChild>
    </w:div>
    <w:div w:id="940842136">
      <w:bodyDiv w:val="1"/>
      <w:marLeft w:val="0"/>
      <w:marRight w:val="0"/>
      <w:marTop w:val="0"/>
      <w:marBottom w:val="0"/>
      <w:divBdr>
        <w:top w:val="none" w:sz="0" w:space="0" w:color="auto"/>
        <w:left w:val="none" w:sz="0" w:space="0" w:color="auto"/>
        <w:bottom w:val="none" w:sz="0" w:space="0" w:color="auto"/>
        <w:right w:val="none" w:sz="0" w:space="0" w:color="auto"/>
      </w:divBdr>
      <w:divsChild>
        <w:div w:id="532618050">
          <w:marLeft w:val="0"/>
          <w:marRight w:val="0"/>
          <w:marTop w:val="0"/>
          <w:marBottom w:val="0"/>
          <w:divBdr>
            <w:top w:val="none" w:sz="0" w:space="0" w:color="auto"/>
            <w:left w:val="none" w:sz="0" w:space="0" w:color="auto"/>
            <w:bottom w:val="none" w:sz="0" w:space="0" w:color="auto"/>
            <w:right w:val="none" w:sz="0" w:space="0" w:color="auto"/>
          </w:divBdr>
          <w:divsChild>
            <w:div w:id="1310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08153">
      <w:bodyDiv w:val="1"/>
      <w:marLeft w:val="0"/>
      <w:marRight w:val="0"/>
      <w:marTop w:val="0"/>
      <w:marBottom w:val="0"/>
      <w:divBdr>
        <w:top w:val="none" w:sz="0" w:space="0" w:color="auto"/>
        <w:left w:val="none" w:sz="0" w:space="0" w:color="auto"/>
        <w:bottom w:val="none" w:sz="0" w:space="0" w:color="auto"/>
        <w:right w:val="none" w:sz="0" w:space="0" w:color="auto"/>
      </w:divBdr>
      <w:divsChild>
        <w:div w:id="382877301">
          <w:marLeft w:val="0"/>
          <w:marRight w:val="0"/>
          <w:marTop w:val="0"/>
          <w:marBottom w:val="0"/>
          <w:divBdr>
            <w:top w:val="none" w:sz="0" w:space="0" w:color="auto"/>
            <w:left w:val="none" w:sz="0" w:space="0" w:color="auto"/>
            <w:bottom w:val="none" w:sz="0" w:space="0" w:color="auto"/>
            <w:right w:val="none" w:sz="0" w:space="0" w:color="auto"/>
          </w:divBdr>
          <w:divsChild>
            <w:div w:id="15561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7655">
      <w:bodyDiv w:val="1"/>
      <w:marLeft w:val="0"/>
      <w:marRight w:val="0"/>
      <w:marTop w:val="0"/>
      <w:marBottom w:val="0"/>
      <w:divBdr>
        <w:top w:val="none" w:sz="0" w:space="0" w:color="auto"/>
        <w:left w:val="none" w:sz="0" w:space="0" w:color="auto"/>
        <w:bottom w:val="none" w:sz="0" w:space="0" w:color="auto"/>
        <w:right w:val="none" w:sz="0" w:space="0" w:color="auto"/>
      </w:divBdr>
      <w:divsChild>
        <w:div w:id="760491039">
          <w:marLeft w:val="0"/>
          <w:marRight w:val="0"/>
          <w:marTop w:val="0"/>
          <w:marBottom w:val="0"/>
          <w:divBdr>
            <w:top w:val="none" w:sz="0" w:space="0" w:color="auto"/>
            <w:left w:val="none" w:sz="0" w:space="0" w:color="auto"/>
            <w:bottom w:val="none" w:sz="0" w:space="0" w:color="auto"/>
            <w:right w:val="none" w:sz="0" w:space="0" w:color="auto"/>
          </w:divBdr>
          <w:divsChild>
            <w:div w:id="1052340979">
              <w:marLeft w:val="0"/>
              <w:marRight w:val="0"/>
              <w:marTop w:val="0"/>
              <w:marBottom w:val="0"/>
              <w:divBdr>
                <w:top w:val="none" w:sz="0" w:space="0" w:color="auto"/>
                <w:left w:val="none" w:sz="0" w:space="0" w:color="auto"/>
                <w:bottom w:val="none" w:sz="0" w:space="0" w:color="auto"/>
                <w:right w:val="none" w:sz="0" w:space="0" w:color="auto"/>
              </w:divBdr>
            </w:div>
            <w:div w:id="19134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2720">
      <w:bodyDiv w:val="1"/>
      <w:marLeft w:val="0"/>
      <w:marRight w:val="0"/>
      <w:marTop w:val="0"/>
      <w:marBottom w:val="0"/>
      <w:divBdr>
        <w:top w:val="none" w:sz="0" w:space="0" w:color="auto"/>
        <w:left w:val="none" w:sz="0" w:space="0" w:color="auto"/>
        <w:bottom w:val="none" w:sz="0" w:space="0" w:color="auto"/>
        <w:right w:val="none" w:sz="0" w:space="0" w:color="auto"/>
      </w:divBdr>
      <w:divsChild>
        <w:div w:id="124398123">
          <w:marLeft w:val="0"/>
          <w:marRight w:val="0"/>
          <w:marTop w:val="0"/>
          <w:marBottom w:val="0"/>
          <w:divBdr>
            <w:top w:val="none" w:sz="0" w:space="0" w:color="auto"/>
            <w:left w:val="none" w:sz="0" w:space="0" w:color="auto"/>
            <w:bottom w:val="none" w:sz="0" w:space="0" w:color="auto"/>
            <w:right w:val="none" w:sz="0" w:space="0" w:color="auto"/>
          </w:divBdr>
          <w:divsChild>
            <w:div w:id="1923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2809">
      <w:bodyDiv w:val="1"/>
      <w:marLeft w:val="0"/>
      <w:marRight w:val="0"/>
      <w:marTop w:val="0"/>
      <w:marBottom w:val="0"/>
      <w:divBdr>
        <w:top w:val="none" w:sz="0" w:space="0" w:color="auto"/>
        <w:left w:val="none" w:sz="0" w:space="0" w:color="auto"/>
        <w:bottom w:val="none" w:sz="0" w:space="0" w:color="auto"/>
        <w:right w:val="none" w:sz="0" w:space="0" w:color="auto"/>
      </w:divBdr>
      <w:divsChild>
        <w:div w:id="387845880">
          <w:marLeft w:val="0"/>
          <w:marRight w:val="0"/>
          <w:marTop w:val="0"/>
          <w:marBottom w:val="0"/>
          <w:divBdr>
            <w:top w:val="none" w:sz="0" w:space="0" w:color="auto"/>
            <w:left w:val="none" w:sz="0" w:space="0" w:color="auto"/>
            <w:bottom w:val="none" w:sz="0" w:space="0" w:color="auto"/>
            <w:right w:val="none" w:sz="0" w:space="0" w:color="auto"/>
          </w:divBdr>
          <w:divsChild>
            <w:div w:id="7198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2788">
      <w:bodyDiv w:val="1"/>
      <w:marLeft w:val="0"/>
      <w:marRight w:val="0"/>
      <w:marTop w:val="0"/>
      <w:marBottom w:val="0"/>
      <w:divBdr>
        <w:top w:val="none" w:sz="0" w:space="0" w:color="auto"/>
        <w:left w:val="none" w:sz="0" w:space="0" w:color="auto"/>
        <w:bottom w:val="none" w:sz="0" w:space="0" w:color="auto"/>
        <w:right w:val="none" w:sz="0" w:space="0" w:color="auto"/>
      </w:divBdr>
      <w:divsChild>
        <w:div w:id="1944339482">
          <w:marLeft w:val="0"/>
          <w:marRight w:val="0"/>
          <w:marTop w:val="0"/>
          <w:marBottom w:val="0"/>
          <w:divBdr>
            <w:top w:val="none" w:sz="0" w:space="0" w:color="auto"/>
            <w:left w:val="none" w:sz="0" w:space="0" w:color="auto"/>
            <w:bottom w:val="none" w:sz="0" w:space="0" w:color="auto"/>
            <w:right w:val="none" w:sz="0" w:space="0" w:color="auto"/>
          </w:divBdr>
          <w:divsChild>
            <w:div w:id="4500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2479">
      <w:bodyDiv w:val="1"/>
      <w:marLeft w:val="0"/>
      <w:marRight w:val="0"/>
      <w:marTop w:val="0"/>
      <w:marBottom w:val="0"/>
      <w:divBdr>
        <w:top w:val="none" w:sz="0" w:space="0" w:color="auto"/>
        <w:left w:val="none" w:sz="0" w:space="0" w:color="auto"/>
        <w:bottom w:val="none" w:sz="0" w:space="0" w:color="auto"/>
        <w:right w:val="none" w:sz="0" w:space="0" w:color="auto"/>
      </w:divBdr>
      <w:divsChild>
        <w:div w:id="414938409">
          <w:marLeft w:val="0"/>
          <w:marRight w:val="0"/>
          <w:marTop w:val="0"/>
          <w:marBottom w:val="0"/>
          <w:divBdr>
            <w:top w:val="none" w:sz="0" w:space="0" w:color="auto"/>
            <w:left w:val="none" w:sz="0" w:space="0" w:color="auto"/>
            <w:bottom w:val="none" w:sz="0" w:space="0" w:color="auto"/>
            <w:right w:val="none" w:sz="0" w:space="0" w:color="auto"/>
          </w:divBdr>
          <w:divsChild>
            <w:div w:id="213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46049">
      <w:bodyDiv w:val="1"/>
      <w:marLeft w:val="0"/>
      <w:marRight w:val="0"/>
      <w:marTop w:val="0"/>
      <w:marBottom w:val="0"/>
      <w:divBdr>
        <w:top w:val="none" w:sz="0" w:space="0" w:color="auto"/>
        <w:left w:val="none" w:sz="0" w:space="0" w:color="auto"/>
        <w:bottom w:val="none" w:sz="0" w:space="0" w:color="auto"/>
        <w:right w:val="none" w:sz="0" w:space="0" w:color="auto"/>
      </w:divBdr>
      <w:divsChild>
        <w:div w:id="1416591420">
          <w:marLeft w:val="0"/>
          <w:marRight w:val="0"/>
          <w:marTop w:val="0"/>
          <w:marBottom w:val="0"/>
          <w:divBdr>
            <w:top w:val="none" w:sz="0" w:space="0" w:color="auto"/>
            <w:left w:val="none" w:sz="0" w:space="0" w:color="auto"/>
            <w:bottom w:val="none" w:sz="0" w:space="0" w:color="auto"/>
            <w:right w:val="none" w:sz="0" w:space="0" w:color="auto"/>
          </w:divBdr>
          <w:divsChild>
            <w:div w:id="156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4301">
      <w:bodyDiv w:val="1"/>
      <w:marLeft w:val="0"/>
      <w:marRight w:val="0"/>
      <w:marTop w:val="0"/>
      <w:marBottom w:val="0"/>
      <w:divBdr>
        <w:top w:val="none" w:sz="0" w:space="0" w:color="auto"/>
        <w:left w:val="none" w:sz="0" w:space="0" w:color="auto"/>
        <w:bottom w:val="none" w:sz="0" w:space="0" w:color="auto"/>
        <w:right w:val="none" w:sz="0" w:space="0" w:color="auto"/>
      </w:divBdr>
      <w:divsChild>
        <w:div w:id="361328072">
          <w:marLeft w:val="0"/>
          <w:marRight w:val="0"/>
          <w:marTop w:val="0"/>
          <w:marBottom w:val="0"/>
          <w:divBdr>
            <w:top w:val="none" w:sz="0" w:space="0" w:color="auto"/>
            <w:left w:val="none" w:sz="0" w:space="0" w:color="auto"/>
            <w:bottom w:val="none" w:sz="0" w:space="0" w:color="auto"/>
            <w:right w:val="none" w:sz="0" w:space="0" w:color="auto"/>
          </w:divBdr>
          <w:divsChild>
            <w:div w:id="3055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5265">
      <w:bodyDiv w:val="1"/>
      <w:marLeft w:val="0"/>
      <w:marRight w:val="0"/>
      <w:marTop w:val="0"/>
      <w:marBottom w:val="0"/>
      <w:divBdr>
        <w:top w:val="none" w:sz="0" w:space="0" w:color="auto"/>
        <w:left w:val="none" w:sz="0" w:space="0" w:color="auto"/>
        <w:bottom w:val="none" w:sz="0" w:space="0" w:color="auto"/>
        <w:right w:val="none" w:sz="0" w:space="0" w:color="auto"/>
      </w:divBdr>
      <w:divsChild>
        <w:div w:id="1497301204">
          <w:marLeft w:val="0"/>
          <w:marRight w:val="0"/>
          <w:marTop w:val="0"/>
          <w:marBottom w:val="0"/>
          <w:divBdr>
            <w:top w:val="none" w:sz="0" w:space="0" w:color="auto"/>
            <w:left w:val="none" w:sz="0" w:space="0" w:color="auto"/>
            <w:bottom w:val="none" w:sz="0" w:space="0" w:color="auto"/>
            <w:right w:val="none" w:sz="0" w:space="0" w:color="auto"/>
          </w:divBdr>
          <w:divsChild>
            <w:div w:id="4461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962">
      <w:bodyDiv w:val="1"/>
      <w:marLeft w:val="0"/>
      <w:marRight w:val="0"/>
      <w:marTop w:val="0"/>
      <w:marBottom w:val="0"/>
      <w:divBdr>
        <w:top w:val="none" w:sz="0" w:space="0" w:color="auto"/>
        <w:left w:val="none" w:sz="0" w:space="0" w:color="auto"/>
        <w:bottom w:val="none" w:sz="0" w:space="0" w:color="auto"/>
        <w:right w:val="none" w:sz="0" w:space="0" w:color="auto"/>
      </w:divBdr>
      <w:divsChild>
        <w:div w:id="1435592860">
          <w:marLeft w:val="0"/>
          <w:marRight w:val="0"/>
          <w:marTop w:val="0"/>
          <w:marBottom w:val="0"/>
          <w:divBdr>
            <w:top w:val="none" w:sz="0" w:space="0" w:color="auto"/>
            <w:left w:val="none" w:sz="0" w:space="0" w:color="auto"/>
            <w:bottom w:val="none" w:sz="0" w:space="0" w:color="auto"/>
            <w:right w:val="none" w:sz="0" w:space="0" w:color="auto"/>
          </w:divBdr>
          <w:divsChild>
            <w:div w:id="63602385">
              <w:marLeft w:val="0"/>
              <w:marRight w:val="0"/>
              <w:marTop w:val="0"/>
              <w:marBottom w:val="0"/>
              <w:divBdr>
                <w:top w:val="none" w:sz="0" w:space="0" w:color="auto"/>
                <w:left w:val="single" w:sz="4" w:space="0" w:color="B4B2B2"/>
                <w:bottom w:val="none" w:sz="0" w:space="0" w:color="auto"/>
                <w:right w:val="single" w:sz="4" w:space="0" w:color="B4B2B2"/>
              </w:divBdr>
              <w:divsChild>
                <w:div w:id="1463040147">
                  <w:marLeft w:val="0"/>
                  <w:marRight w:val="0"/>
                  <w:marTop w:val="0"/>
                  <w:marBottom w:val="0"/>
                  <w:divBdr>
                    <w:top w:val="none" w:sz="0" w:space="0" w:color="auto"/>
                    <w:left w:val="none" w:sz="0" w:space="0" w:color="auto"/>
                    <w:bottom w:val="none" w:sz="0" w:space="0" w:color="auto"/>
                    <w:right w:val="none" w:sz="0" w:space="0" w:color="auto"/>
                  </w:divBdr>
                  <w:divsChild>
                    <w:div w:id="762994440">
                      <w:marLeft w:val="0"/>
                      <w:marRight w:val="0"/>
                      <w:marTop w:val="0"/>
                      <w:marBottom w:val="0"/>
                      <w:divBdr>
                        <w:top w:val="none" w:sz="0" w:space="0" w:color="auto"/>
                        <w:left w:val="none" w:sz="0" w:space="0" w:color="auto"/>
                        <w:bottom w:val="none" w:sz="0" w:space="0" w:color="auto"/>
                        <w:right w:val="none" w:sz="0" w:space="0" w:color="auto"/>
                      </w:divBdr>
                      <w:divsChild>
                        <w:div w:id="1322661483">
                          <w:marLeft w:val="0"/>
                          <w:marRight w:val="0"/>
                          <w:marTop w:val="0"/>
                          <w:marBottom w:val="0"/>
                          <w:divBdr>
                            <w:top w:val="none" w:sz="0" w:space="0" w:color="auto"/>
                            <w:left w:val="none" w:sz="0" w:space="0" w:color="auto"/>
                            <w:bottom w:val="none" w:sz="0" w:space="0" w:color="auto"/>
                            <w:right w:val="none" w:sz="0" w:space="0" w:color="auto"/>
                          </w:divBdr>
                          <w:divsChild>
                            <w:div w:id="1955088521">
                              <w:marLeft w:val="0"/>
                              <w:marRight w:val="0"/>
                              <w:marTop w:val="0"/>
                              <w:marBottom w:val="0"/>
                              <w:divBdr>
                                <w:top w:val="none" w:sz="0" w:space="0" w:color="auto"/>
                                <w:left w:val="none" w:sz="0" w:space="0" w:color="auto"/>
                                <w:bottom w:val="single" w:sz="12" w:space="18" w:color="000000"/>
                                <w:right w:val="none" w:sz="0" w:space="0" w:color="auto"/>
                              </w:divBdr>
                              <w:divsChild>
                                <w:div w:id="8804373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150418">
      <w:bodyDiv w:val="1"/>
      <w:marLeft w:val="0"/>
      <w:marRight w:val="0"/>
      <w:marTop w:val="0"/>
      <w:marBottom w:val="0"/>
      <w:divBdr>
        <w:top w:val="none" w:sz="0" w:space="0" w:color="auto"/>
        <w:left w:val="none" w:sz="0" w:space="0" w:color="auto"/>
        <w:bottom w:val="none" w:sz="0" w:space="0" w:color="auto"/>
        <w:right w:val="none" w:sz="0" w:space="0" w:color="auto"/>
      </w:divBdr>
      <w:divsChild>
        <w:div w:id="1729575171">
          <w:marLeft w:val="0"/>
          <w:marRight w:val="0"/>
          <w:marTop w:val="0"/>
          <w:marBottom w:val="0"/>
          <w:divBdr>
            <w:top w:val="none" w:sz="0" w:space="0" w:color="auto"/>
            <w:left w:val="none" w:sz="0" w:space="0" w:color="auto"/>
            <w:bottom w:val="none" w:sz="0" w:space="0" w:color="auto"/>
            <w:right w:val="none" w:sz="0" w:space="0" w:color="auto"/>
          </w:divBdr>
          <w:divsChild>
            <w:div w:id="7771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1712">
      <w:bodyDiv w:val="1"/>
      <w:marLeft w:val="0"/>
      <w:marRight w:val="0"/>
      <w:marTop w:val="0"/>
      <w:marBottom w:val="0"/>
      <w:divBdr>
        <w:top w:val="none" w:sz="0" w:space="0" w:color="auto"/>
        <w:left w:val="none" w:sz="0" w:space="0" w:color="auto"/>
        <w:bottom w:val="none" w:sz="0" w:space="0" w:color="auto"/>
        <w:right w:val="none" w:sz="0" w:space="0" w:color="auto"/>
      </w:divBdr>
      <w:divsChild>
        <w:div w:id="425270012">
          <w:marLeft w:val="0"/>
          <w:marRight w:val="0"/>
          <w:marTop w:val="0"/>
          <w:marBottom w:val="0"/>
          <w:divBdr>
            <w:top w:val="none" w:sz="0" w:space="0" w:color="auto"/>
            <w:left w:val="none" w:sz="0" w:space="0" w:color="auto"/>
            <w:bottom w:val="none" w:sz="0" w:space="0" w:color="auto"/>
            <w:right w:val="none" w:sz="0" w:space="0" w:color="auto"/>
          </w:divBdr>
          <w:divsChild>
            <w:div w:id="1759057205">
              <w:marLeft w:val="0"/>
              <w:marRight w:val="0"/>
              <w:marTop w:val="0"/>
              <w:marBottom w:val="0"/>
              <w:divBdr>
                <w:top w:val="none" w:sz="0" w:space="0" w:color="auto"/>
                <w:left w:val="single" w:sz="4" w:space="0" w:color="B4B2B2"/>
                <w:bottom w:val="none" w:sz="0" w:space="0" w:color="auto"/>
                <w:right w:val="single" w:sz="4" w:space="0" w:color="B4B2B2"/>
              </w:divBdr>
              <w:divsChild>
                <w:div w:id="1429695421">
                  <w:marLeft w:val="0"/>
                  <w:marRight w:val="0"/>
                  <w:marTop w:val="0"/>
                  <w:marBottom w:val="0"/>
                  <w:divBdr>
                    <w:top w:val="none" w:sz="0" w:space="0" w:color="auto"/>
                    <w:left w:val="none" w:sz="0" w:space="0" w:color="auto"/>
                    <w:bottom w:val="none" w:sz="0" w:space="0" w:color="auto"/>
                    <w:right w:val="none" w:sz="0" w:space="0" w:color="auto"/>
                  </w:divBdr>
                  <w:divsChild>
                    <w:div w:id="870725561">
                      <w:marLeft w:val="0"/>
                      <w:marRight w:val="0"/>
                      <w:marTop w:val="0"/>
                      <w:marBottom w:val="0"/>
                      <w:divBdr>
                        <w:top w:val="none" w:sz="0" w:space="0" w:color="auto"/>
                        <w:left w:val="none" w:sz="0" w:space="0" w:color="auto"/>
                        <w:bottom w:val="none" w:sz="0" w:space="0" w:color="auto"/>
                        <w:right w:val="none" w:sz="0" w:space="0" w:color="auto"/>
                      </w:divBdr>
                      <w:divsChild>
                        <w:div w:id="1200312751">
                          <w:marLeft w:val="0"/>
                          <w:marRight w:val="0"/>
                          <w:marTop w:val="0"/>
                          <w:marBottom w:val="0"/>
                          <w:divBdr>
                            <w:top w:val="none" w:sz="0" w:space="0" w:color="auto"/>
                            <w:left w:val="none" w:sz="0" w:space="0" w:color="auto"/>
                            <w:bottom w:val="none" w:sz="0" w:space="0" w:color="auto"/>
                            <w:right w:val="none" w:sz="0" w:space="0" w:color="auto"/>
                          </w:divBdr>
                          <w:divsChild>
                            <w:div w:id="1311402026">
                              <w:marLeft w:val="0"/>
                              <w:marRight w:val="0"/>
                              <w:marTop w:val="0"/>
                              <w:marBottom w:val="0"/>
                              <w:divBdr>
                                <w:top w:val="none" w:sz="0" w:space="0" w:color="auto"/>
                                <w:left w:val="none" w:sz="0" w:space="0" w:color="auto"/>
                                <w:bottom w:val="single" w:sz="12" w:space="18" w:color="000000"/>
                                <w:right w:val="none" w:sz="0" w:space="0" w:color="auto"/>
                              </w:divBdr>
                              <w:divsChild>
                                <w:div w:id="137612713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282279">
      <w:bodyDiv w:val="1"/>
      <w:marLeft w:val="0"/>
      <w:marRight w:val="0"/>
      <w:marTop w:val="0"/>
      <w:marBottom w:val="0"/>
      <w:divBdr>
        <w:top w:val="none" w:sz="0" w:space="0" w:color="auto"/>
        <w:left w:val="none" w:sz="0" w:space="0" w:color="auto"/>
        <w:bottom w:val="none" w:sz="0" w:space="0" w:color="auto"/>
        <w:right w:val="none" w:sz="0" w:space="0" w:color="auto"/>
      </w:divBdr>
      <w:divsChild>
        <w:div w:id="1823737502">
          <w:marLeft w:val="0"/>
          <w:marRight w:val="0"/>
          <w:marTop w:val="0"/>
          <w:marBottom w:val="0"/>
          <w:divBdr>
            <w:top w:val="none" w:sz="0" w:space="0" w:color="auto"/>
            <w:left w:val="none" w:sz="0" w:space="0" w:color="auto"/>
            <w:bottom w:val="none" w:sz="0" w:space="0" w:color="auto"/>
            <w:right w:val="none" w:sz="0" w:space="0" w:color="auto"/>
          </w:divBdr>
          <w:divsChild>
            <w:div w:id="17461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12882">
      <w:bodyDiv w:val="1"/>
      <w:marLeft w:val="0"/>
      <w:marRight w:val="0"/>
      <w:marTop w:val="0"/>
      <w:marBottom w:val="0"/>
      <w:divBdr>
        <w:top w:val="none" w:sz="0" w:space="0" w:color="auto"/>
        <w:left w:val="none" w:sz="0" w:space="0" w:color="auto"/>
        <w:bottom w:val="none" w:sz="0" w:space="0" w:color="auto"/>
        <w:right w:val="none" w:sz="0" w:space="0" w:color="auto"/>
      </w:divBdr>
      <w:divsChild>
        <w:div w:id="1512063276">
          <w:marLeft w:val="0"/>
          <w:marRight w:val="0"/>
          <w:marTop w:val="0"/>
          <w:marBottom w:val="0"/>
          <w:divBdr>
            <w:top w:val="none" w:sz="0" w:space="0" w:color="auto"/>
            <w:left w:val="none" w:sz="0" w:space="0" w:color="auto"/>
            <w:bottom w:val="none" w:sz="0" w:space="0" w:color="auto"/>
            <w:right w:val="none" w:sz="0" w:space="0" w:color="auto"/>
          </w:divBdr>
          <w:divsChild>
            <w:div w:id="1622033802">
              <w:marLeft w:val="0"/>
              <w:marRight w:val="0"/>
              <w:marTop w:val="0"/>
              <w:marBottom w:val="0"/>
              <w:divBdr>
                <w:top w:val="none" w:sz="0" w:space="0" w:color="auto"/>
                <w:left w:val="single" w:sz="4" w:space="0" w:color="B4B2B2"/>
                <w:bottom w:val="none" w:sz="0" w:space="0" w:color="auto"/>
                <w:right w:val="single" w:sz="4" w:space="0" w:color="B4B2B2"/>
              </w:divBdr>
              <w:divsChild>
                <w:div w:id="812479565">
                  <w:marLeft w:val="0"/>
                  <w:marRight w:val="0"/>
                  <w:marTop w:val="0"/>
                  <w:marBottom w:val="0"/>
                  <w:divBdr>
                    <w:top w:val="none" w:sz="0" w:space="0" w:color="auto"/>
                    <w:left w:val="none" w:sz="0" w:space="0" w:color="auto"/>
                    <w:bottom w:val="none" w:sz="0" w:space="0" w:color="auto"/>
                    <w:right w:val="none" w:sz="0" w:space="0" w:color="auto"/>
                  </w:divBdr>
                  <w:divsChild>
                    <w:div w:id="1047216247">
                      <w:marLeft w:val="0"/>
                      <w:marRight w:val="0"/>
                      <w:marTop w:val="0"/>
                      <w:marBottom w:val="0"/>
                      <w:divBdr>
                        <w:top w:val="none" w:sz="0" w:space="0" w:color="auto"/>
                        <w:left w:val="none" w:sz="0" w:space="0" w:color="auto"/>
                        <w:bottom w:val="none" w:sz="0" w:space="0" w:color="auto"/>
                        <w:right w:val="none" w:sz="0" w:space="0" w:color="auto"/>
                      </w:divBdr>
                      <w:divsChild>
                        <w:div w:id="1029842134">
                          <w:marLeft w:val="0"/>
                          <w:marRight w:val="0"/>
                          <w:marTop w:val="0"/>
                          <w:marBottom w:val="0"/>
                          <w:divBdr>
                            <w:top w:val="none" w:sz="0" w:space="0" w:color="auto"/>
                            <w:left w:val="none" w:sz="0" w:space="0" w:color="auto"/>
                            <w:bottom w:val="none" w:sz="0" w:space="0" w:color="auto"/>
                            <w:right w:val="none" w:sz="0" w:space="0" w:color="auto"/>
                          </w:divBdr>
                          <w:divsChild>
                            <w:div w:id="770052629">
                              <w:marLeft w:val="0"/>
                              <w:marRight w:val="0"/>
                              <w:marTop w:val="0"/>
                              <w:marBottom w:val="0"/>
                              <w:divBdr>
                                <w:top w:val="none" w:sz="0" w:space="0" w:color="auto"/>
                                <w:left w:val="none" w:sz="0" w:space="0" w:color="auto"/>
                                <w:bottom w:val="single" w:sz="12" w:space="18" w:color="000000"/>
                                <w:right w:val="none" w:sz="0" w:space="0" w:color="auto"/>
                              </w:divBdr>
                              <w:divsChild>
                                <w:div w:id="20376603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186005">
      <w:bodyDiv w:val="1"/>
      <w:marLeft w:val="0"/>
      <w:marRight w:val="0"/>
      <w:marTop w:val="0"/>
      <w:marBottom w:val="0"/>
      <w:divBdr>
        <w:top w:val="none" w:sz="0" w:space="0" w:color="auto"/>
        <w:left w:val="none" w:sz="0" w:space="0" w:color="auto"/>
        <w:bottom w:val="none" w:sz="0" w:space="0" w:color="auto"/>
        <w:right w:val="none" w:sz="0" w:space="0" w:color="auto"/>
      </w:divBdr>
      <w:divsChild>
        <w:div w:id="1184050795">
          <w:marLeft w:val="0"/>
          <w:marRight w:val="0"/>
          <w:marTop w:val="0"/>
          <w:marBottom w:val="0"/>
          <w:divBdr>
            <w:top w:val="none" w:sz="0" w:space="0" w:color="auto"/>
            <w:left w:val="none" w:sz="0" w:space="0" w:color="auto"/>
            <w:bottom w:val="none" w:sz="0" w:space="0" w:color="auto"/>
            <w:right w:val="none" w:sz="0" w:space="0" w:color="auto"/>
          </w:divBdr>
          <w:divsChild>
            <w:div w:id="8374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05712">
      <w:bodyDiv w:val="1"/>
      <w:marLeft w:val="0"/>
      <w:marRight w:val="0"/>
      <w:marTop w:val="0"/>
      <w:marBottom w:val="0"/>
      <w:divBdr>
        <w:top w:val="none" w:sz="0" w:space="0" w:color="auto"/>
        <w:left w:val="none" w:sz="0" w:space="0" w:color="auto"/>
        <w:bottom w:val="none" w:sz="0" w:space="0" w:color="auto"/>
        <w:right w:val="none" w:sz="0" w:space="0" w:color="auto"/>
      </w:divBdr>
      <w:divsChild>
        <w:div w:id="836463723">
          <w:marLeft w:val="0"/>
          <w:marRight w:val="0"/>
          <w:marTop w:val="0"/>
          <w:marBottom w:val="0"/>
          <w:divBdr>
            <w:top w:val="none" w:sz="0" w:space="0" w:color="auto"/>
            <w:left w:val="none" w:sz="0" w:space="0" w:color="auto"/>
            <w:bottom w:val="none" w:sz="0" w:space="0" w:color="auto"/>
            <w:right w:val="none" w:sz="0" w:space="0" w:color="auto"/>
          </w:divBdr>
          <w:divsChild>
            <w:div w:id="1541897548">
              <w:marLeft w:val="0"/>
              <w:marRight w:val="0"/>
              <w:marTop w:val="0"/>
              <w:marBottom w:val="0"/>
              <w:divBdr>
                <w:top w:val="none" w:sz="0" w:space="0" w:color="auto"/>
                <w:left w:val="none" w:sz="0" w:space="0" w:color="auto"/>
                <w:bottom w:val="none" w:sz="0" w:space="0" w:color="auto"/>
                <w:right w:val="none" w:sz="0" w:space="0" w:color="auto"/>
              </w:divBdr>
            </w:div>
            <w:div w:id="19158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8001">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6">
          <w:marLeft w:val="0"/>
          <w:marRight w:val="0"/>
          <w:marTop w:val="0"/>
          <w:marBottom w:val="0"/>
          <w:divBdr>
            <w:top w:val="none" w:sz="0" w:space="0" w:color="auto"/>
            <w:left w:val="none" w:sz="0" w:space="0" w:color="auto"/>
            <w:bottom w:val="none" w:sz="0" w:space="0" w:color="auto"/>
            <w:right w:val="none" w:sz="0" w:space="0" w:color="auto"/>
          </w:divBdr>
          <w:divsChild>
            <w:div w:id="12967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97369">
      <w:bodyDiv w:val="1"/>
      <w:marLeft w:val="0"/>
      <w:marRight w:val="0"/>
      <w:marTop w:val="0"/>
      <w:marBottom w:val="0"/>
      <w:divBdr>
        <w:top w:val="none" w:sz="0" w:space="0" w:color="auto"/>
        <w:left w:val="none" w:sz="0" w:space="0" w:color="auto"/>
        <w:bottom w:val="none" w:sz="0" w:space="0" w:color="auto"/>
        <w:right w:val="none" w:sz="0" w:space="0" w:color="auto"/>
      </w:divBdr>
      <w:divsChild>
        <w:div w:id="1878085937">
          <w:marLeft w:val="0"/>
          <w:marRight w:val="0"/>
          <w:marTop w:val="0"/>
          <w:marBottom w:val="0"/>
          <w:divBdr>
            <w:top w:val="none" w:sz="0" w:space="0" w:color="auto"/>
            <w:left w:val="none" w:sz="0" w:space="0" w:color="auto"/>
            <w:bottom w:val="none" w:sz="0" w:space="0" w:color="auto"/>
            <w:right w:val="none" w:sz="0" w:space="0" w:color="auto"/>
          </w:divBdr>
          <w:divsChild>
            <w:div w:id="11919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8610">
      <w:bodyDiv w:val="1"/>
      <w:marLeft w:val="0"/>
      <w:marRight w:val="0"/>
      <w:marTop w:val="0"/>
      <w:marBottom w:val="0"/>
      <w:divBdr>
        <w:top w:val="none" w:sz="0" w:space="0" w:color="auto"/>
        <w:left w:val="none" w:sz="0" w:space="0" w:color="auto"/>
        <w:bottom w:val="none" w:sz="0" w:space="0" w:color="auto"/>
        <w:right w:val="none" w:sz="0" w:space="0" w:color="auto"/>
      </w:divBdr>
      <w:divsChild>
        <w:div w:id="70546586">
          <w:marLeft w:val="0"/>
          <w:marRight w:val="0"/>
          <w:marTop w:val="0"/>
          <w:marBottom w:val="0"/>
          <w:divBdr>
            <w:top w:val="none" w:sz="0" w:space="0" w:color="auto"/>
            <w:left w:val="none" w:sz="0" w:space="0" w:color="auto"/>
            <w:bottom w:val="none" w:sz="0" w:space="0" w:color="auto"/>
            <w:right w:val="none" w:sz="0" w:space="0" w:color="auto"/>
          </w:divBdr>
          <w:divsChild>
            <w:div w:id="12930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1143">
      <w:bodyDiv w:val="1"/>
      <w:marLeft w:val="0"/>
      <w:marRight w:val="0"/>
      <w:marTop w:val="0"/>
      <w:marBottom w:val="0"/>
      <w:divBdr>
        <w:top w:val="none" w:sz="0" w:space="0" w:color="auto"/>
        <w:left w:val="none" w:sz="0" w:space="0" w:color="auto"/>
        <w:bottom w:val="none" w:sz="0" w:space="0" w:color="auto"/>
        <w:right w:val="none" w:sz="0" w:space="0" w:color="auto"/>
      </w:divBdr>
      <w:divsChild>
        <w:div w:id="1361542226">
          <w:marLeft w:val="0"/>
          <w:marRight w:val="0"/>
          <w:marTop w:val="0"/>
          <w:marBottom w:val="0"/>
          <w:divBdr>
            <w:top w:val="none" w:sz="0" w:space="0" w:color="auto"/>
            <w:left w:val="none" w:sz="0" w:space="0" w:color="auto"/>
            <w:bottom w:val="none" w:sz="0" w:space="0" w:color="auto"/>
            <w:right w:val="none" w:sz="0" w:space="0" w:color="auto"/>
          </w:divBdr>
          <w:divsChild>
            <w:div w:id="12135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21285">
      <w:bodyDiv w:val="1"/>
      <w:marLeft w:val="0"/>
      <w:marRight w:val="0"/>
      <w:marTop w:val="0"/>
      <w:marBottom w:val="0"/>
      <w:divBdr>
        <w:top w:val="none" w:sz="0" w:space="0" w:color="auto"/>
        <w:left w:val="none" w:sz="0" w:space="0" w:color="auto"/>
        <w:bottom w:val="none" w:sz="0" w:space="0" w:color="auto"/>
        <w:right w:val="none" w:sz="0" w:space="0" w:color="auto"/>
      </w:divBdr>
      <w:divsChild>
        <w:div w:id="1916016278">
          <w:marLeft w:val="0"/>
          <w:marRight w:val="0"/>
          <w:marTop w:val="0"/>
          <w:marBottom w:val="0"/>
          <w:divBdr>
            <w:top w:val="none" w:sz="0" w:space="0" w:color="auto"/>
            <w:left w:val="none" w:sz="0" w:space="0" w:color="auto"/>
            <w:bottom w:val="none" w:sz="0" w:space="0" w:color="auto"/>
            <w:right w:val="none" w:sz="0" w:space="0" w:color="auto"/>
          </w:divBdr>
          <w:divsChild>
            <w:div w:id="11653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6302">
      <w:bodyDiv w:val="1"/>
      <w:marLeft w:val="0"/>
      <w:marRight w:val="0"/>
      <w:marTop w:val="0"/>
      <w:marBottom w:val="0"/>
      <w:divBdr>
        <w:top w:val="none" w:sz="0" w:space="0" w:color="auto"/>
        <w:left w:val="none" w:sz="0" w:space="0" w:color="auto"/>
        <w:bottom w:val="none" w:sz="0" w:space="0" w:color="auto"/>
        <w:right w:val="none" w:sz="0" w:space="0" w:color="auto"/>
      </w:divBdr>
      <w:divsChild>
        <w:div w:id="396323097">
          <w:marLeft w:val="0"/>
          <w:marRight w:val="0"/>
          <w:marTop w:val="0"/>
          <w:marBottom w:val="0"/>
          <w:divBdr>
            <w:top w:val="none" w:sz="0" w:space="0" w:color="auto"/>
            <w:left w:val="none" w:sz="0" w:space="0" w:color="auto"/>
            <w:bottom w:val="none" w:sz="0" w:space="0" w:color="auto"/>
            <w:right w:val="none" w:sz="0" w:space="0" w:color="auto"/>
          </w:divBdr>
          <w:divsChild>
            <w:div w:id="12895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62699">
      <w:bodyDiv w:val="1"/>
      <w:marLeft w:val="0"/>
      <w:marRight w:val="0"/>
      <w:marTop w:val="0"/>
      <w:marBottom w:val="0"/>
      <w:divBdr>
        <w:top w:val="none" w:sz="0" w:space="0" w:color="auto"/>
        <w:left w:val="none" w:sz="0" w:space="0" w:color="auto"/>
        <w:bottom w:val="none" w:sz="0" w:space="0" w:color="auto"/>
        <w:right w:val="none" w:sz="0" w:space="0" w:color="auto"/>
      </w:divBdr>
      <w:divsChild>
        <w:div w:id="436801514">
          <w:marLeft w:val="0"/>
          <w:marRight w:val="0"/>
          <w:marTop w:val="0"/>
          <w:marBottom w:val="0"/>
          <w:divBdr>
            <w:top w:val="none" w:sz="0" w:space="0" w:color="auto"/>
            <w:left w:val="none" w:sz="0" w:space="0" w:color="auto"/>
            <w:bottom w:val="none" w:sz="0" w:space="0" w:color="auto"/>
            <w:right w:val="none" w:sz="0" w:space="0" w:color="auto"/>
          </w:divBdr>
          <w:divsChild>
            <w:div w:id="14408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0123">
      <w:bodyDiv w:val="1"/>
      <w:marLeft w:val="0"/>
      <w:marRight w:val="0"/>
      <w:marTop w:val="0"/>
      <w:marBottom w:val="0"/>
      <w:divBdr>
        <w:top w:val="none" w:sz="0" w:space="0" w:color="auto"/>
        <w:left w:val="none" w:sz="0" w:space="0" w:color="auto"/>
        <w:bottom w:val="none" w:sz="0" w:space="0" w:color="auto"/>
        <w:right w:val="none" w:sz="0" w:space="0" w:color="auto"/>
      </w:divBdr>
      <w:divsChild>
        <w:div w:id="2021079864">
          <w:marLeft w:val="0"/>
          <w:marRight w:val="0"/>
          <w:marTop w:val="0"/>
          <w:marBottom w:val="0"/>
          <w:divBdr>
            <w:top w:val="none" w:sz="0" w:space="0" w:color="auto"/>
            <w:left w:val="none" w:sz="0" w:space="0" w:color="auto"/>
            <w:bottom w:val="none" w:sz="0" w:space="0" w:color="auto"/>
            <w:right w:val="none" w:sz="0" w:space="0" w:color="auto"/>
          </w:divBdr>
          <w:divsChild>
            <w:div w:id="18820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3F86-56EC-48A7-9929-6DE63902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13601</Words>
  <Characters>77531</Characters>
  <Application>Microsoft Office Word</Application>
  <DocSecurity>4</DocSecurity>
  <Lines>646</Lines>
  <Paragraphs>181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Table of Authorities</vt:lpstr>
      <vt:lpstr/>
      <vt:lpstr>Statement of Facts and Procedure Below</vt:lpstr>
      <vt:lpstr>Summary of Argument</vt:lpstr>
      <vt:lpstr>Argument</vt:lpstr>
      <vt:lpstr>    The Prohibition Against Bills of Attainder Applies Equally to Individuals and Co</vt:lpstr>
      <vt:lpstr>        This Court has Indicated that Art. I, § 9 Applies to Corporations and All Lower </vt:lpstr>
      <vt:lpstr>        The History and Purpose behind the Prohibition on Bills of Attainder Support App</vt:lpstr>
      <vt:lpstr>        The Circuit Court Erred in Giving the Bill of Attainder Clause Less Protective F</vt:lpstr>
      <vt:lpstr>    The Appropriations Laws Are Unlawful Bills of Attainder </vt:lpstr>
      <vt:lpstr>        The Appropriations Laws Amount to Punishment under the Historical Test </vt:lpstr>
      <vt:lpstr>        The Appropriations Laws Punish ACORN and its Affiliates under the Functional Tes</vt:lpstr>
      <vt:lpstr>        Legislative History Establishes that Congress Intended the Appropriations Laws a</vt:lpstr>
      <vt:lpstr>Conclusion</vt:lpstr>
    </vt:vector>
  </TitlesOfParts>
  <Company/>
  <LinksUpToDate>false</LinksUpToDate>
  <CharactersWithSpaces>90951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Serbin</dc:creator>
  <cp:keywords/>
  <dc:description/>
  <cp:lastModifiedBy>William Fernholz</cp:lastModifiedBy>
  <cp:revision>2</cp:revision>
  <cp:lastPrinted>2012-02-06T02:20:00Z</cp:lastPrinted>
  <dcterms:created xsi:type="dcterms:W3CDTF">2012-02-15T18:19:00Z</dcterms:created>
  <dcterms:modified xsi:type="dcterms:W3CDTF">2012-02-15T18:19:00Z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dd5217f3-6a69-4de9-b90a-5e0005e57115</vt:lpwstr>
  </property>
  <property fmtid="{D5CDD505-2E9C-101B-9397-08002B2CF9AE}" pid="3" name="BA_CurrentTOAMode">
    <vt:lpwstr>BA Mode</vt:lpwstr>
  </property>
  <property fmtid="{D5CDD505-2E9C-101B-9397-08002B2CF9AE}" pid="4" name="BA_SchemeName">
    <vt:lpwstr>Sample Common</vt:lpwstr>
  </property>
  <property fmtid="{D5CDD505-2E9C-101B-9397-08002B2CF9AE}" pid="5" name="BA_LastScanDate">
    <vt:lpwstr>02/14/2012 04:46 PM</vt:lpwstr>
  </property>
  <property fmtid="{D5CDD505-2E9C-101B-9397-08002B2CF9AE}" pid="6" name="BA_LastScanVersion">
    <vt:lpwstr>02.07.0020</vt:lpwstr>
  </property>
  <property fmtid="{D5CDD505-2E9C-101B-9397-08002B2CF9AE}" pid="7" name="BA_LastBuildDate">
    <vt:lpwstr>02/14/2012 04:46 PM</vt:lpwstr>
  </property>
  <property fmtid="{D5CDD505-2E9C-101B-9397-08002B2CF9AE}" pid="8" name="BA_LastSessionVersion">
    <vt:lpwstr>02.07.0208</vt:lpwstr>
  </property>
</Properties>
</file>