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453E" w14:textId="77777777" w:rsidR="007C0A8F" w:rsidRDefault="007C0A8F" w:rsidP="001F1707">
      <w:pPr>
        <w:jc w:val="center"/>
      </w:pPr>
    </w:p>
    <w:p w14:paraId="55D10E19" w14:textId="77777777" w:rsidR="007C0A8F" w:rsidRDefault="007C0A8F" w:rsidP="001F1707">
      <w:pPr>
        <w:jc w:val="center"/>
      </w:pPr>
    </w:p>
    <w:p w14:paraId="7AD468D9" w14:textId="2EE69EE5" w:rsidR="00B866EA" w:rsidRDefault="00B866EA" w:rsidP="001F1707">
      <w:pPr>
        <w:jc w:val="center"/>
      </w:pPr>
      <w:r>
        <w:t>SYLLABUS</w:t>
      </w:r>
      <w:r w:rsidR="000F2A97">
        <w:t xml:space="preserve"> </w:t>
      </w:r>
      <w:r w:rsidR="00843AF9">
        <w:t>v. 1</w:t>
      </w:r>
    </w:p>
    <w:p w14:paraId="69EF7D4F" w14:textId="60062FFA" w:rsidR="00B866EA" w:rsidRPr="00B866EA" w:rsidRDefault="00B866EA" w:rsidP="00B866EA">
      <w:pPr>
        <w:jc w:val="center"/>
      </w:pPr>
      <w:r>
        <w:t xml:space="preserve">The Law of Web Services and Search Engines, </w:t>
      </w:r>
      <w:hyperlink r:id="rId6" w:history="1">
        <w:r w:rsidRPr="00B866EA">
          <w:t xml:space="preserve">276.3 </w:t>
        </w:r>
      </w:hyperlink>
    </w:p>
    <w:p w14:paraId="4F373B00" w14:textId="56252454" w:rsidR="00B866EA" w:rsidRDefault="00B866EA" w:rsidP="001F1707">
      <w:pPr>
        <w:jc w:val="center"/>
      </w:pPr>
    </w:p>
    <w:p w14:paraId="751387C8" w14:textId="48106C4E" w:rsidR="00B866EA" w:rsidRPr="00B866EA" w:rsidRDefault="00EF49D0" w:rsidP="00B866EA">
      <w:pPr>
        <w:jc w:val="center"/>
      </w:pPr>
      <w:r>
        <w:t>Spring</w:t>
      </w:r>
      <w:r w:rsidR="00AF4D90">
        <w:t xml:space="preserve"> 201</w:t>
      </w:r>
      <w:r>
        <w:t>4</w:t>
      </w:r>
      <w:r w:rsidR="00AF4D90">
        <w:t xml:space="preserve">, </w:t>
      </w:r>
      <w:r w:rsidR="00B866EA" w:rsidRPr="00B866EA">
        <w:t>Th</w:t>
      </w:r>
      <w:r w:rsidR="00AF4D90">
        <w:t>ursdays</w:t>
      </w:r>
      <w:r w:rsidR="00B866EA" w:rsidRPr="00B866EA">
        <w:t xml:space="preserve"> 3:35-5:25</w:t>
      </w:r>
      <w:r w:rsidR="00B866EA" w:rsidRPr="00B866EA">
        <w:br/>
        <w:t xml:space="preserve">Location: </w:t>
      </w:r>
      <w:bookmarkStart w:id="0" w:name="_GoBack"/>
      <w:r w:rsidR="009E21FA">
        <w:t>141</w:t>
      </w:r>
      <w:bookmarkEnd w:id="0"/>
    </w:p>
    <w:p w14:paraId="23A734E4" w14:textId="77777777" w:rsidR="00B866EA" w:rsidRDefault="00B866EA" w:rsidP="001F1707">
      <w:pPr>
        <w:jc w:val="center"/>
      </w:pPr>
    </w:p>
    <w:p w14:paraId="3FBC0FE2" w14:textId="552CF711" w:rsidR="00B866EA" w:rsidRDefault="00B866EA" w:rsidP="001F1707">
      <w:pPr>
        <w:jc w:val="center"/>
      </w:pPr>
      <w:r>
        <w:t>Daphne Keller</w:t>
      </w:r>
    </w:p>
    <w:p w14:paraId="2CCAFA09" w14:textId="4FDB4007" w:rsidR="00DD4E6C" w:rsidRDefault="00DD4E6C" w:rsidP="001F1707">
      <w:pPr>
        <w:jc w:val="center"/>
      </w:pPr>
      <w:r>
        <w:t>d</w:t>
      </w:r>
      <w:r w:rsidR="00EF49D0">
        <w:t>keller</w:t>
      </w:r>
      <w:r>
        <w:t>@law.berkeley.edu</w:t>
      </w:r>
    </w:p>
    <w:p w14:paraId="2E8E648F" w14:textId="77777777" w:rsidR="00D16CCC" w:rsidRDefault="00D16CCC" w:rsidP="001F1707">
      <w:pPr>
        <w:jc w:val="center"/>
      </w:pPr>
    </w:p>
    <w:p w14:paraId="4AD610EA" w14:textId="77777777" w:rsidR="00EF49D0" w:rsidRDefault="00EF49D0" w:rsidP="00D16CCC"/>
    <w:p w14:paraId="1153BAA0" w14:textId="77777777" w:rsidR="00EF49D0" w:rsidRDefault="00EF49D0" w:rsidP="00D16CCC"/>
    <w:p w14:paraId="27B47F3E" w14:textId="395709FC" w:rsidR="00D16CCC" w:rsidRDefault="00D16CCC" w:rsidP="00D16CCC">
      <w:r>
        <w:t>COURSE OVERVIEW: This course will teach practical skills and black-letter law</w:t>
      </w:r>
      <w:r w:rsidR="004E358B">
        <w:t xml:space="preserve">, with a primary focus </w:t>
      </w:r>
      <w:r>
        <w:t xml:space="preserve">on </w:t>
      </w:r>
      <w:r w:rsidR="006B27E1">
        <w:t xml:space="preserve">online </w:t>
      </w:r>
      <w:r w:rsidR="00A41DEE">
        <w:t xml:space="preserve">businesses </w:t>
      </w:r>
      <w:r>
        <w:t>handling “other people’s content</w:t>
      </w:r>
      <w:r w:rsidR="00A41DEE">
        <w:t xml:space="preserve">” – UGC </w:t>
      </w:r>
      <w:r w:rsidR="004E358B">
        <w:t xml:space="preserve">and social networking </w:t>
      </w:r>
      <w:r w:rsidR="00A41DEE">
        <w:t xml:space="preserve">sites, </w:t>
      </w:r>
      <w:r w:rsidR="006B27E1">
        <w:t>search</w:t>
      </w:r>
      <w:r w:rsidR="00A41DEE">
        <w:t xml:space="preserve"> indexes, etc. </w:t>
      </w:r>
    </w:p>
    <w:p w14:paraId="588122C1" w14:textId="77777777" w:rsidR="000F2A97" w:rsidRDefault="000F2A97" w:rsidP="00AF4D90"/>
    <w:p w14:paraId="404EB161" w14:textId="39B82394" w:rsidR="00AF4D90" w:rsidRDefault="00AF4D90" w:rsidP="00AF4D90">
      <w:r>
        <w:t>ASSIGNMENTS AND GRADING: 50% of students’ grades will be based on the fin</w:t>
      </w:r>
      <w:r w:rsidR="00E1064E">
        <w:t xml:space="preserve">al exam, </w:t>
      </w:r>
      <w:r>
        <w:t xml:space="preserve">which will be an eight-hour take-home.  The other 50% will be based on </w:t>
      </w:r>
      <w:r w:rsidR="00E1064E">
        <w:t>short</w:t>
      </w:r>
      <w:r>
        <w:t xml:space="preserve"> </w:t>
      </w:r>
      <w:r w:rsidR="008717D7">
        <w:t>writing assignments</w:t>
      </w:r>
      <w:r>
        <w:t xml:space="preserve"> and in-class participation. </w:t>
      </w:r>
      <w:r w:rsidR="00EA376A">
        <w:t xml:space="preserve"> One writing assignment will be a privacy policy drafting exercise conducted in small groups.  The other will be a series of short response papers based on reading assignments. </w:t>
      </w:r>
      <w:r>
        <w:t xml:space="preserve">Each student will </w:t>
      </w:r>
      <w:r w:rsidR="00E1064E">
        <w:t xml:space="preserve">be </w:t>
      </w:r>
      <w:r w:rsidR="00470214">
        <w:t xml:space="preserve">sign up for </w:t>
      </w:r>
      <w:r w:rsidR="00E1064E">
        <w:t xml:space="preserve">specific dates to </w:t>
      </w:r>
      <w:r>
        <w:t>write</w:t>
      </w:r>
      <w:r w:rsidR="00EA376A">
        <w:t xml:space="preserve"> and share with the class</w:t>
      </w:r>
      <w:r>
        <w:t xml:space="preserve"> </w:t>
      </w:r>
      <w:r w:rsidR="00E1064E">
        <w:t xml:space="preserve">a total of </w:t>
      </w:r>
      <w:r w:rsidR="00EF49D0">
        <w:t xml:space="preserve">three </w:t>
      </w:r>
      <w:r>
        <w:t>short (</w:t>
      </w:r>
      <w:r w:rsidR="00EF49D0">
        <w:t>1-2</w:t>
      </w:r>
      <w:r>
        <w:t xml:space="preserve"> pages) </w:t>
      </w:r>
      <w:r w:rsidR="00E1064E">
        <w:t>papers</w:t>
      </w:r>
      <w:r w:rsidR="00EA376A">
        <w:t>.  These can be either:</w:t>
      </w:r>
    </w:p>
    <w:p w14:paraId="0131E259" w14:textId="77777777" w:rsidR="007C0A8F" w:rsidRDefault="007C0A8F" w:rsidP="00AF4D90"/>
    <w:p w14:paraId="5DCF41E2" w14:textId="3E8053DA" w:rsidR="00E1064E" w:rsidRDefault="004E358B" w:rsidP="00E1064E">
      <w:pPr>
        <w:pStyle w:val="ListParagraph"/>
        <w:numPr>
          <w:ilvl w:val="0"/>
          <w:numId w:val="7"/>
        </w:numPr>
      </w:pPr>
      <w:r>
        <w:t>“</w:t>
      </w:r>
      <w:r w:rsidR="00EA376A">
        <w:t>R</w:t>
      </w:r>
      <w:r>
        <w:t xml:space="preserve">eading response” </w:t>
      </w:r>
      <w:r w:rsidR="00737AB6">
        <w:t>papers</w:t>
      </w:r>
      <w:r w:rsidR="00E1064E">
        <w:t xml:space="preserve"> </w:t>
      </w:r>
      <w:r>
        <w:t>commenting on</w:t>
      </w:r>
      <w:r w:rsidR="00E1064E">
        <w:t xml:space="preserve"> the </w:t>
      </w:r>
      <w:r w:rsidR="00AF4D90">
        <w:t xml:space="preserve">weekly readings, </w:t>
      </w:r>
      <w:r w:rsidR="007C0A8F">
        <w:t xml:space="preserve">to be </w:t>
      </w:r>
      <w:r>
        <w:t xml:space="preserve">shared with the class (via a class board, either hosted by </w:t>
      </w:r>
      <w:proofErr w:type="spellStart"/>
      <w:r>
        <w:t>Boalt</w:t>
      </w:r>
      <w:proofErr w:type="spellEnd"/>
      <w:r>
        <w:t xml:space="preserve"> or on a shared Google Doc) </w:t>
      </w:r>
      <w:r w:rsidR="00AF4D90">
        <w:t>the Sunday night before class</w:t>
      </w:r>
      <w:r w:rsidR="00E1064E">
        <w:t>.</w:t>
      </w:r>
    </w:p>
    <w:p w14:paraId="258B8F08" w14:textId="1678F463" w:rsidR="00AF4D90" w:rsidRDefault="00EA376A" w:rsidP="00E1064E">
      <w:pPr>
        <w:pStyle w:val="ListParagraph"/>
        <w:numPr>
          <w:ilvl w:val="0"/>
          <w:numId w:val="7"/>
        </w:numPr>
      </w:pPr>
      <w:r>
        <w:t>“C</w:t>
      </w:r>
      <w:r w:rsidR="004E358B">
        <w:t xml:space="preserve">ounter-response” </w:t>
      </w:r>
      <w:r w:rsidR="00E1064E">
        <w:t xml:space="preserve">papers </w:t>
      </w:r>
      <w:r w:rsidR="004E358B">
        <w:t>reacting to</w:t>
      </w:r>
      <w:r w:rsidR="00E1064E">
        <w:t xml:space="preserve"> your fellow students’ </w:t>
      </w:r>
      <w:r w:rsidR="004E358B">
        <w:t>reading response papers</w:t>
      </w:r>
      <w:r w:rsidR="00737AB6">
        <w:t xml:space="preserve">, </w:t>
      </w:r>
      <w:r w:rsidR="007C0A8F">
        <w:t xml:space="preserve">to be posted on the </w:t>
      </w:r>
      <w:proofErr w:type="gramStart"/>
      <w:r w:rsidR="007C0A8F">
        <w:t>class board</w:t>
      </w:r>
      <w:proofErr w:type="gramEnd"/>
      <w:r w:rsidR="00737AB6">
        <w:t xml:space="preserve"> the Tuesday night before class. </w:t>
      </w:r>
    </w:p>
    <w:p w14:paraId="479ADCC9" w14:textId="77777777" w:rsidR="007C0A8F" w:rsidRDefault="007C0A8F"/>
    <w:p w14:paraId="19A996FA" w14:textId="33404E0D" w:rsidR="00470214" w:rsidRDefault="00EA376A">
      <w:r>
        <w:t xml:space="preserve">The Response papers are not to summarize the reading, they are to present a reaction to or critique of the reading.  They can be philosophical or practical; they can be general or </w:t>
      </w:r>
      <w:proofErr w:type="gramStart"/>
      <w:r>
        <w:t>nit-picking</w:t>
      </w:r>
      <w:proofErr w:type="gramEnd"/>
      <w:r>
        <w:t xml:space="preserve">; but they should represent your own thinking on the materials.  </w:t>
      </w:r>
      <w:r w:rsidR="00470214">
        <w:t xml:space="preserve">The sign-up </w:t>
      </w:r>
      <w:proofErr w:type="gramStart"/>
      <w:r w:rsidR="00470214">
        <w:t>sheet, and links to pages to post response papers, are</w:t>
      </w:r>
      <w:proofErr w:type="gramEnd"/>
      <w:r w:rsidR="00470214">
        <w:t xml:space="preserve"> </w:t>
      </w:r>
      <w:hyperlink r:id="rId7" w:history="1">
        <w:r w:rsidR="00470214" w:rsidRPr="00470214">
          <w:rPr>
            <w:rStyle w:val="Hyperlink"/>
          </w:rPr>
          <w:t>here</w:t>
        </w:r>
      </w:hyperlink>
      <w:r w:rsidR="00470214">
        <w:t xml:space="preserve">. </w:t>
      </w:r>
    </w:p>
    <w:p w14:paraId="1A11ABD2" w14:textId="77777777" w:rsidR="00470214" w:rsidRDefault="00470214"/>
    <w:p w14:paraId="4A67E3A5" w14:textId="6023C314" w:rsidR="004E358B" w:rsidRDefault="007C0A8F">
      <w:r>
        <w:t xml:space="preserve">Students </w:t>
      </w:r>
      <w:r w:rsidR="00281FE8">
        <w:t xml:space="preserve">who are writing that week </w:t>
      </w:r>
      <w:r>
        <w:t xml:space="preserve">should review </w:t>
      </w:r>
      <w:r w:rsidR="00281FE8">
        <w:t xml:space="preserve">the other </w:t>
      </w:r>
      <w:r>
        <w:t>response</w:t>
      </w:r>
      <w:r w:rsidR="00EA376A">
        <w:t xml:space="preserve"> or counter-response</w:t>
      </w:r>
      <w:r>
        <w:t xml:space="preserve"> papers. </w:t>
      </w:r>
      <w:r w:rsidR="00281FE8">
        <w:t xml:space="preserve">  Students who are not writing that week are not required to do so, but are strongly encouraged.</w:t>
      </w:r>
    </w:p>
    <w:p w14:paraId="67C471ED" w14:textId="77777777" w:rsidR="000027A4" w:rsidRDefault="000027A4"/>
    <w:p w14:paraId="765376B3" w14:textId="228AD778" w:rsidR="000027A4" w:rsidRDefault="000027A4">
      <w:r>
        <w:t>If we add a guest speaker, students will submit advance questions for the speaker</w:t>
      </w:r>
      <w:r w:rsidR="00843AF9">
        <w:t xml:space="preserve"> as well.</w:t>
      </w:r>
      <w:r>
        <w:t xml:space="preserve"> </w:t>
      </w:r>
    </w:p>
    <w:p w14:paraId="04616823" w14:textId="77777777" w:rsidR="004E358B" w:rsidRDefault="004E358B"/>
    <w:p w14:paraId="2C3D7652" w14:textId="77777777" w:rsidR="00B866EA" w:rsidRDefault="00B866EA"/>
    <w:p w14:paraId="2CF1DD85" w14:textId="2C35F4E9" w:rsidR="00737AB6" w:rsidRDefault="00737AB6">
      <w:r>
        <w:lastRenderedPageBreak/>
        <w:t xml:space="preserve">OFFICE HOURS: I will hold office hours </w:t>
      </w:r>
      <w:r w:rsidR="00B148C2">
        <w:t xml:space="preserve">for at least one hour </w:t>
      </w:r>
      <w:r>
        <w:t xml:space="preserve">prior to class </w:t>
      </w:r>
      <w:r w:rsidR="004E358B">
        <w:t>each Thursday</w:t>
      </w:r>
      <w:r w:rsidR="00DD4E6C">
        <w:t xml:space="preserve"> in room</w:t>
      </w:r>
      <w:r w:rsidR="00EA376A">
        <w:t xml:space="preserve"> ____</w:t>
      </w:r>
      <w:r>
        <w:t>.</w:t>
      </w:r>
      <w:r w:rsidR="00B148C2">
        <w:t xml:space="preserve">  Other times can be scheduled as needed, but will probably be by phone or video chat.</w:t>
      </w:r>
    </w:p>
    <w:p w14:paraId="55CC0C22" w14:textId="77777777" w:rsidR="00737AB6" w:rsidRDefault="00737AB6"/>
    <w:p w14:paraId="27BEDCC2" w14:textId="1DBC6859" w:rsidR="009011B6" w:rsidRDefault="009F6891">
      <w:r>
        <w:t>NOTE ON TAPING: Please do not record class discussions.</w:t>
      </w:r>
    </w:p>
    <w:p w14:paraId="606A7169" w14:textId="77777777" w:rsidR="00843AF9" w:rsidRDefault="00843AF9"/>
    <w:p w14:paraId="6E8DA827" w14:textId="77777777" w:rsidR="00843AF9" w:rsidRDefault="00843AF9"/>
    <w:p w14:paraId="4B78C64B" w14:textId="77777777" w:rsidR="00843AF9" w:rsidRDefault="00843AF9"/>
    <w:p w14:paraId="0D6D1FA9" w14:textId="123745C4" w:rsidR="009011B6" w:rsidRPr="009011B6" w:rsidRDefault="00D16CCC" w:rsidP="00D16CCC">
      <w:pPr>
        <w:jc w:val="center"/>
      </w:pPr>
      <w:r>
        <w:t>-------</w:t>
      </w:r>
    </w:p>
    <w:p w14:paraId="525C0313" w14:textId="77777777" w:rsidR="001F3024" w:rsidRDefault="001F3024"/>
    <w:p w14:paraId="4E5468A1" w14:textId="77777777" w:rsidR="001A747E" w:rsidRDefault="001A747E"/>
    <w:p w14:paraId="173EB930" w14:textId="77777777" w:rsidR="001A747E" w:rsidRDefault="001A747E"/>
    <w:p w14:paraId="5C5331F7" w14:textId="77777777" w:rsidR="001A747E" w:rsidRDefault="001A747E"/>
    <w:p w14:paraId="5194D731" w14:textId="410A8E95" w:rsidR="00D16CCC" w:rsidRDefault="00D16CCC"/>
    <w:tbl>
      <w:tblPr>
        <w:tblStyle w:val="TableGrid"/>
        <w:tblW w:w="13450" w:type="dxa"/>
        <w:tblLayout w:type="fixed"/>
        <w:tblLook w:val="04A0" w:firstRow="1" w:lastRow="0" w:firstColumn="1" w:lastColumn="0" w:noHBand="0" w:noVBand="1"/>
      </w:tblPr>
      <w:tblGrid>
        <w:gridCol w:w="1762"/>
        <w:gridCol w:w="8516"/>
        <w:gridCol w:w="1586"/>
        <w:gridCol w:w="1586"/>
      </w:tblGrid>
      <w:tr w:rsidR="001E0C72" w14:paraId="482AC65A" w14:textId="34B2EED6" w:rsidTr="00AA0456">
        <w:tc>
          <w:tcPr>
            <w:tcW w:w="1762" w:type="dxa"/>
          </w:tcPr>
          <w:p w14:paraId="18D84DCB" w14:textId="77777777" w:rsidR="001E0C72" w:rsidRDefault="001E0C72">
            <w:pPr>
              <w:rPr>
                <w:b/>
              </w:rPr>
            </w:pPr>
            <w:r w:rsidRPr="00FE0627">
              <w:rPr>
                <w:b/>
              </w:rPr>
              <w:t>Topic</w:t>
            </w:r>
          </w:p>
          <w:p w14:paraId="23C79030" w14:textId="19950E52" w:rsidR="001E0C72" w:rsidRPr="00FE0627" w:rsidRDefault="001E0C72">
            <w:pPr>
              <w:rPr>
                <w:b/>
              </w:rPr>
            </w:pPr>
          </w:p>
        </w:tc>
        <w:tc>
          <w:tcPr>
            <w:tcW w:w="8516" w:type="dxa"/>
          </w:tcPr>
          <w:p w14:paraId="42E7C73B" w14:textId="18627F59" w:rsidR="001E0C72" w:rsidRPr="00FE0627" w:rsidRDefault="001E0C72" w:rsidP="00475304">
            <w:pPr>
              <w:rPr>
                <w:b/>
              </w:rPr>
            </w:pPr>
            <w:r>
              <w:rPr>
                <w:b/>
              </w:rPr>
              <w:t xml:space="preserve">Reading Assignment </w:t>
            </w:r>
          </w:p>
        </w:tc>
        <w:tc>
          <w:tcPr>
            <w:tcW w:w="1586" w:type="dxa"/>
          </w:tcPr>
          <w:p w14:paraId="50D2F5C1" w14:textId="179AFF0E" w:rsidR="001E0C72" w:rsidRPr="00FE0627" w:rsidRDefault="001E0C72">
            <w:pPr>
              <w:rPr>
                <w:b/>
              </w:rPr>
            </w:pPr>
            <w:r w:rsidRPr="00FE0627">
              <w:rPr>
                <w:b/>
              </w:rPr>
              <w:t>Date</w:t>
            </w:r>
          </w:p>
        </w:tc>
        <w:tc>
          <w:tcPr>
            <w:tcW w:w="1586" w:type="dxa"/>
          </w:tcPr>
          <w:p w14:paraId="4F8148C8" w14:textId="6AF28932" w:rsidR="001E0C72" w:rsidRPr="00FE0627" w:rsidRDefault="001E0C72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0C72" w14:paraId="01B73DB9" w14:textId="2DD1ED9C" w:rsidTr="00AA0456">
        <w:tc>
          <w:tcPr>
            <w:tcW w:w="1762" w:type="dxa"/>
          </w:tcPr>
          <w:p w14:paraId="3D2D2962" w14:textId="77777777" w:rsidR="001E0C72" w:rsidRDefault="001E0C72">
            <w:pPr>
              <w:rPr>
                <w:b/>
              </w:rPr>
            </w:pPr>
          </w:p>
          <w:p w14:paraId="2C085159" w14:textId="5EBFE93A" w:rsidR="001E0C72" w:rsidRPr="004C6350" w:rsidRDefault="001E0C72">
            <w:pPr>
              <w:rPr>
                <w:b/>
              </w:rPr>
            </w:pPr>
            <w:r w:rsidRPr="004C6350">
              <w:rPr>
                <w:b/>
              </w:rPr>
              <w:t>I. Class Introduction</w:t>
            </w:r>
          </w:p>
        </w:tc>
        <w:tc>
          <w:tcPr>
            <w:tcW w:w="8516" w:type="dxa"/>
          </w:tcPr>
          <w:p w14:paraId="7DA25F96" w14:textId="77777777" w:rsidR="001E0C72" w:rsidRDefault="001E0C72" w:rsidP="00A42F9F"/>
          <w:p w14:paraId="1775B646" w14:textId="4FB151D2" w:rsidR="001E0C72" w:rsidRDefault="001E0C72" w:rsidP="00A42F9F">
            <w:r>
              <w:t xml:space="preserve">* </w:t>
            </w:r>
            <w:hyperlink r:id="rId8" w:history="1">
              <w:r w:rsidRPr="00A42F9F">
                <w:rPr>
                  <w:rStyle w:val="Hyperlink"/>
                </w:rPr>
                <w:t>Article</w:t>
              </w:r>
            </w:hyperlink>
            <w:r>
              <w:t xml:space="preserve"> on </w:t>
            </w:r>
            <w:proofErr w:type="spellStart"/>
            <w:r>
              <w:t>Baidu</w:t>
            </w:r>
            <w:proofErr w:type="spellEnd"/>
            <w:r>
              <w:t xml:space="preserve"> Pay-for-Removal Incident</w:t>
            </w:r>
          </w:p>
          <w:p w14:paraId="5207A6AC" w14:textId="0435179B" w:rsidR="001E0C72" w:rsidRDefault="001E0C72" w:rsidP="00A42F9F">
            <w:r>
              <w:t xml:space="preserve">* </w:t>
            </w:r>
            <w:proofErr w:type="spellStart"/>
            <w:r>
              <w:t>Reputation.com’s</w:t>
            </w:r>
            <w:proofErr w:type="spellEnd"/>
            <w:r>
              <w:t xml:space="preserve"> </w:t>
            </w:r>
            <w:hyperlink r:id="rId9" w:history="1">
              <w:r w:rsidRPr="000615F5">
                <w:rPr>
                  <w:rStyle w:val="Hyperlink"/>
                </w:rPr>
                <w:t>About page</w:t>
              </w:r>
            </w:hyperlink>
            <w:r>
              <w:rPr>
                <w:rStyle w:val="Hyperlink"/>
              </w:rPr>
              <w:t xml:space="preserve"> </w:t>
            </w:r>
            <w:r w:rsidRPr="00D42A16">
              <w:rPr>
                <w:rStyle w:val="Hyperlink"/>
                <w:color w:val="auto"/>
                <w:u w:val="none"/>
              </w:rPr>
              <w:t xml:space="preserve">– </w:t>
            </w:r>
            <w:r w:rsidRPr="00D42A16">
              <w:rPr>
                <w:rStyle w:val="Hyperlink"/>
                <w:i/>
                <w:color w:val="auto"/>
                <w:u w:val="none"/>
              </w:rPr>
              <w:t>D</w:t>
            </w:r>
            <w:r w:rsidRPr="00AA0456">
              <w:rPr>
                <w:rStyle w:val="Hyperlink"/>
                <w:i/>
                <w:color w:val="auto"/>
                <w:u w:val="none"/>
              </w:rPr>
              <w:t>on’t bother watching the video</w:t>
            </w:r>
          </w:p>
          <w:p w14:paraId="089956C4" w14:textId="77777777" w:rsidR="001E0C72" w:rsidRDefault="001E0C72" w:rsidP="00B62736">
            <w:r>
              <w:t xml:space="preserve">* </w:t>
            </w:r>
            <w:hyperlink r:id="rId10" w:history="1">
              <w:r w:rsidRPr="000615F5">
                <w:rPr>
                  <w:rStyle w:val="Hyperlink"/>
                </w:rPr>
                <w:t>Rationalizing Internet Safe Harbors</w:t>
              </w:r>
            </w:hyperlink>
            <w:r>
              <w:t xml:space="preserve">, Mark </w:t>
            </w:r>
            <w:proofErr w:type="spellStart"/>
            <w:r>
              <w:t>Lemley</w:t>
            </w:r>
            <w:proofErr w:type="spellEnd"/>
            <w:r>
              <w:t xml:space="preserve"> 2007 – </w:t>
            </w:r>
            <w:r w:rsidRPr="001F3024">
              <w:rPr>
                <w:i/>
              </w:rPr>
              <w:t xml:space="preserve">Read this with an eye to policy and practical questions, don’t use it as your source for black letter law.  We will delve deeper into these laws </w:t>
            </w:r>
            <w:proofErr w:type="gramStart"/>
            <w:r w:rsidRPr="001F3024">
              <w:rPr>
                <w:i/>
              </w:rPr>
              <w:t>later,</w:t>
            </w:r>
            <w:proofErr w:type="gramEnd"/>
            <w:r w:rsidRPr="001F3024">
              <w:rPr>
                <w:i/>
              </w:rPr>
              <w:t xml:space="preserve"> some have changed since this article came out in 2007</w:t>
            </w:r>
            <w:r>
              <w:t>.</w:t>
            </w:r>
          </w:p>
          <w:p w14:paraId="7B2B3CBE" w14:textId="60E5F82C" w:rsidR="001E0C72" w:rsidRDefault="001E0C72" w:rsidP="00B62736"/>
        </w:tc>
        <w:tc>
          <w:tcPr>
            <w:tcW w:w="1586" w:type="dxa"/>
          </w:tcPr>
          <w:p w14:paraId="15BC2C49" w14:textId="77777777" w:rsidR="001E0C72" w:rsidRDefault="001E0C72"/>
          <w:p w14:paraId="44C62CF3" w14:textId="19124587" w:rsidR="001E0C72" w:rsidRDefault="001E0C72">
            <w:r>
              <w:t>Jan 9</w:t>
            </w:r>
          </w:p>
        </w:tc>
        <w:tc>
          <w:tcPr>
            <w:tcW w:w="1586" w:type="dxa"/>
          </w:tcPr>
          <w:p w14:paraId="6995420D" w14:textId="77777777" w:rsidR="001E0C72" w:rsidRDefault="001E0C72"/>
        </w:tc>
      </w:tr>
      <w:tr w:rsidR="001E0C72" w14:paraId="3289D9CD" w14:textId="1E13D866" w:rsidTr="00AA0456">
        <w:tc>
          <w:tcPr>
            <w:tcW w:w="11864" w:type="dxa"/>
            <w:gridSpan w:val="3"/>
          </w:tcPr>
          <w:p w14:paraId="22CF7780" w14:textId="77777777" w:rsidR="001E0C72" w:rsidRDefault="001E0C72">
            <w:pPr>
              <w:rPr>
                <w:b/>
              </w:rPr>
            </w:pPr>
          </w:p>
          <w:p w14:paraId="25C1DA16" w14:textId="77777777" w:rsidR="001E0C72" w:rsidRDefault="001E0C72">
            <w:pPr>
              <w:rPr>
                <w:b/>
              </w:rPr>
            </w:pPr>
            <w:r w:rsidRPr="004C6350">
              <w:rPr>
                <w:b/>
              </w:rPr>
              <w:t>II. Intermediary Liability Considerations in Product Design and Operation</w:t>
            </w:r>
          </w:p>
          <w:p w14:paraId="0C2CECEC" w14:textId="1B22841B" w:rsidR="001E0C72" w:rsidRPr="004C6350" w:rsidRDefault="001E0C72">
            <w:pPr>
              <w:rPr>
                <w:b/>
              </w:rPr>
            </w:pPr>
          </w:p>
        </w:tc>
        <w:tc>
          <w:tcPr>
            <w:tcW w:w="1586" w:type="dxa"/>
          </w:tcPr>
          <w:p w14:paraId="7A617534" w14:textId="77777777" w:rsidR="001E0C72" w:rsidRDefault="001E0C72">
            <w:pPr>
              <w:rPr>
                <w:b/>
              </w:rPr>
            </w:pPr>
          </w:p>
        </w:tc>
      </w:tr>
      <w:tr w:rsidR="001E0C72" w14:paraId="6B24F834" w14:textId="07DA35EB" w:rsidTr="001E0C72">
        <w:tc>
          <w:tcPr>
            <w:tcW w:w="1762" w:type="dxa"/>
          </w:tcPr>
          <w:p w14:paraId="6110C90D" w14:textId="77777777" w:rsidR="001E0C72" w:rsidRDefault="001E0C72"/>
          <w:p w14:paraId="6DC794B5" w14:textId="53F85F67" w:rsidR="001E0C72" w:rsidRDefault="001E0C72">
            <w:r>
              <w:t>A. Simple Model: CDA 230</w:t>
            </w:r>
          </w:p>
        </w:tc>
        <w:tc>
          <w:tcPr>
            <w:tcW w:w="8516" w:type="dxa"/>
          </w:tcPr>
          <w:p w14:paraId="5BFDE138" w14:textId="77777777" w:rsidR="001E0C72" w:rsidRPr="00D42A16" w:rsidRDefault="001E0C72" w:rsidP="00126BA7"/>
          <w:p w14:paraId="6008FCB3" w14:textId="372D4C1B" w:rsidR="001E0C72" w:rsidRPr="00D42A16" w:rsidRDefault="001E0C72" w:rsidP="00C36394">
            <w:r w:rsidRPr="00D42A16">
              <w:t xml:space="preserve">* </w:t>
            </w:r>
            <w:hyperlink r:id="rId11" w:history="1">
              <w:r w:rsidRPr="00D42A16">
                <w:rPr>
                  <w:rStyle w:val="Hyperlink"/>
                </w:rPr>
                <w:t>CDA 230</w:t>
              </w:r>
            </w:hyperlink>
            <w:r w:rsidRPr="00D42A16">
              <w:t xml:space="preserve"> </w:t>
            </w:r>
            <w:r w:rsidRPr="00D42A16">
              <w:br/>
              <w:t xml:space="preserve">* Roommates.com </w:t>
            </w:r>
            <w:hyperlink r:id="rId12" w:history="1">
              <w:r w:rsidRPr="00D42A16">
                <w:rPr>
                  <w:rStyle w:val="Hyperlink"/>
                  <w:rFonts w:eastAsia="Times New Roman" w:cs="Times New Roman"/>
                </w:rPr>
                <w:t>9th Circuit en banc opinion</w:t>
              </w:r>
            </w:hyperlink>
            <w:r w:rsidRPr="00D42A16">
              <w:t xml:space="preserve"> – </w:t>
            </w:r>
            <w:r w:rsidRPr="00D42A16">
              <w:rPr>
                <w:i/>
              </w:rPr>
              <w:t>only read the majority opinion</w:t>
            </w:r>
            <w:r w:rsidRPr="00D42A16">
              <w:rPr>
                <w:rFonts w:eastAsia="Times New Roman" w:cs="Times New Roman"/>
              </w:rPr>
              <w:t xml:space="preserve"> </w:t>
            </w:r>
            <w:r w:rsidRPr="00D42A16">
              <w:rPr>
                <w:rFonts w:eastAsia="Times New Roman" w:cs="Times New Roman"/>
              </w:rPr>
              <w:br/>
            </w:r>
            <w:r w:rsidRPr="00D42A16">
              <w:t xml:space="preserve">* Eric </w:t>
            </w:r>
            <w:proofErr w:type="gramStart"/>
            <w:r w:rsidRPr="00D42A16">
              <w:t>Goldman’s  Forbes</w:t>
            </w:r>
            <w:proofErr w:type="gramEnd"/>
            <w:r w:rsidRPr="00D42A16">
              <w:t xml:space="preserve"> </w:t>
            </w:r>
            <w:hyperlink r:id="rId13" w:history="1">
              <w:r w:rsidRPr="00D42A16">
                <w:rPr>
                  <w:rStyle w:val="Hyperlink"/>
                </w:rPr>
                <w:t>article</w:t>
              </w:r>
            </w:hyperlink>
            <w:r w:rsidRPr="00D42A16">
              <w:t xml:space="preserve"> on </w:t>
            </w:r>
            <w:r w:rsidRPr="00D42A16">
              <w:rPr>
                <w:u w:val="single"/>
              </w:rPr>
              <w:t>Jones v. Dirty World</w:t>
            </w:r>
            <w:r w:rsidRPr="00D42A16" w:rsidDel="00C36394">
              <w:t xml:space="preserve"> </w:t>
            </w:r>
            <w:r w:rsidRPr="00D42A16">
              <w:rPr>
                <w:i/>
              </w:rPr>
              <w:br/>
            </w:r>
          </w:p>
        </w:tc>
        <w:tc>
          <w:tcPr>
            <w:tcW w:w="1586" w:type="dxa"/>
          </w:tcPr>
          <w:p w14:paraId="35B617F5" w14:textId="77777777" w:rsidR="001E0C72" w:rsidRDefault="001E0C72"/>
          <w:p w14:paraId="53D345AE" w14:textId="35F3B706" w:rsidR="001E0C72" w:rsidRDefault="001E0C72">
            <w:r>
              <w:t>Jan 23</w:t>
            </w:r>
          </w:p>
        </w:tc>
        <w:tc>
          <w:tcPr>
            <w:tcW w:w="1586" w:type="dxa"/>
          </w:tcPr>
          <w:p w14:paraId="59532CBF" w14:textId="77777777" w:rsidR="001E0C72" w:rsidRDefault="001E0C72"/>
        </w:tc>
      </w:tr>
      <w:tr w:rsidR="001E0C72" w14:paraId="1EB187EE" w14:textId="66E873F3" w:rsidTr="001E0C72">
        <w:tc>
          <w:tcPr>
            <w:tcW w:w="11864" w:type="dxa"/>
            <w:gridSpan w:val="3"/>
          </w:tcPr>
          <w:p w14:paraId="609CC2B9" w14:textId="77777777" w:rsidR="001E0C72" w:rsidRPr="00D42A16" w:rsidRDefault="001E0C72"/>
          <w:p w14:paraId="55D4D589" w14:textId="0022C8F0" w:rsidR="001E0C72" w:rsidRPr="00D42A16" w:rsidRDefault="001E0C72">
            <w:r w:rsidRPr="00D42A16">
              <w:t>B. Detailed Prescriptive Model: DMCA</w:t>
            </w:r>
          </w:p>
          <w:p w14:paraId="0D33FE5A" w14:textId="78E72073" w:rsidR="001E0C72" w:rsidRPr="00D42A16" w:rsidRDefault="001E0C72"/>
        </w:tc>
        <w:tc>
          <w:tcPr>
            <w:tcW w:w="1586" w:type="dxa"/>
          </w:tcPr>
          <w:p w14:paraId="7EB525F0" w14:textId="77777777" w:rsidR="001E0C72" w:rsidRDefault="001E0C72"/>
        </w:tc>
      </w:tr>
      <w:tr w:rsidR="001E0C72" w14:paraId="23E01015" w14:textId="067D6147" w:rsidTr="001E0C72">
        <w:tc>
          <w:tcPr>
            <w:tcW w:w="1762" w:type="dxa"/>
          </w:tcPr>
          <w:p w14:paraId="6EFBB3C6" w14:textId="77777777" w:rsidR="001E0C72" w:rsidRDefault="001E0C72" w:rsidP="00160FF6"/>
          <w:p w14:paraId="4FFC08DA" w14:textId="77777777" w:rsidR="001E0C72" w:rsidRDefault="001E0C72" w:rsidP="00160FF6">
            <w:r>
              <w:t>1. Product Design under the DMCA</w:t>
            </w:r>
          </w:p>
          <w:p w14:paraId="0452D47C" w14:textId="0A3A5D63" w:rsidR="001E0C72" w:rsidRDefault="001E0C72" w:rsidP="00160FF6"/>
        </w:tc>
        <w:tc>
          <w:tcPr>
            <w:tcW w:w="8516" w:type="dxa"/>
          </w:tcPr>
          <w:p w14:paraId="492CA92B" w14:textId="77777777" w:rsidR="001E0C72" w:rsidRPr="00D42A16" w:rsidRDefault="001E0C72"/>
          <w:p w14:paraId="5537CD3A" w14:textId="65229891" w:rsidR="001E0C72" w:rsidRPr="00D42A16" w:rsidRDefault="001E0C72">
            <w:r w:rsidRPr="00D42A16">
              <w:t xml:space="preserve">* </w:t>
            </w:r>
            <w:hyperlink r:id="rId14" w:history="1">
              <w:r w:rsidRPr="00D42A16">
                <w:rPr>
                  <w:rStyle w:val="Hyperlink"/>
                </w:rPr>
                <w:t>17 USC 512</w:t>
              </w:r>
            </w:hyperlink>
            <w:r w:rsidRPr="00D42A16">
              <w:rPr>
                <w:rStyle w:val="Hyperlink"/>
              </w:rPr>
              <w:t xml:space="preserve"> </w:t>
            </w:r>
            <w:r w:rsidRPr="00D42A16">
              <w:rPr>
                <w:rStyle w:val="Hyperlink"/>
                <w:color w:val="auto"/>
                <w:u w:val="none"/>
              </w:rPr>
              <w:t xml:space="preserve">– </w:t>
            </w:r>
            <w:r w:rsidRPr="00D42A16">
              <w:rPr>
                <w:rStyle w:val="Hyperlink"/>
                <w:i/>
                <w:color w:val="auto"/>
                <w:u w:val="none"/>
              </w:rPr>
              <w:t>read closely, we will discuss statutory text in depth</w:t>
            </w:r>
          </w:p>
          <w:p w14:paraId="53D6EA0A" w14:textId="758622D8" w:rsidR="001E0C72" w:rsidRPr="00D42A16" w:rsidRDefault="001E0C72" w:rsidP="00B03156">
            <w:r w:rsidRPr="00D42A16">
              <w:t xml:space="preserve">* </w:t>
            </w:r>
            <w:hyperlink r:id="rId15" w:history="1">
              <w:r w:rsidRPr="00D42A16">
                <w:rPr>
                  <w:rStyle w:val="Hyperlink"/>
                </w:rPr>
                <w:t>UMG v. Shelter Capital</w:t>
              </w:r>
            </w:hyperlink>
            <w:r w:rsidRPr="00D42A16">
              <w:t xml:space="preserve">, </w:t>
            </w:r>
            <w:r w:rsidRPr="00D42A16">
              <w:rPr>
                <w:i/>
              </w:rPr>
              <w:t>up through Discussion Section III only</w:t>
            </w:r>
            <w:r w:rsidRPr="00D42A16">
              <w:t xml:space="preserve"> </w:t>
            </w:r>
          </w:p>
        </w:tc>
        <w:tc>
          <w:tcPr>
            <w:tcW w:w="1586" w:type="dxa"/>
          </w:tcPr>
          <w:p w14:paraId="5162A25F" w14:textId="77777777" w:rsidR="001E0C72" w:rsidRDefault="001E0C72"/>
          <w:p w14:paraId="76DD53AD" w14:textId="61C13313" w:rsidR="001E0C72" w:rsidRDefault="001E0C72">
            <w:r>
              <w:t>Jan 30</w:t>
            </w:r>
          </w:p>
        </w:tc>
        <w:tc>
          <w:tcPr>
            <w:tcW w:w="1586" w:type="dxa"/>
          </w:tcPr>
          <w:p w14:paraId="1309824A" w14:textId="77777777" w:rsidR="001E0C72" w:rsidRDefault="001E0C72"/>
        </w:tc>
      </w:tr>
      <w:tr w:rsidR="001E0C72" w14:paraId="2073E5BD" w14:textId="6ED80BC6" w:rsidTr="001E0C72">
        <w:tc>
          <w:tcPr>
            <w:tcW w:w="1762" w:type="dxa"/>
          </w:tcPr>
          <w:p w14:paraId="1DAB509A" w14:textId="77777777" w:rsidR="001E0C72" w:rsidRDefault="001E0C72" w:rsidP="00EE659B"/>
          <w:p w14:paraId="503FF22B" w14:textId="77777777" w:rsidR="001E0C72" w:rsidRDefault="001E0C72" w:rsidP="00EE659B">
            <w:r>
              <w:t>2. Operations under the DMCA</w:t>
            </w:r>
          </w:p>
          <w:p w14:paraId="65D5AF66" w14:textId="4E596098" w:rsidR="001E0C72" w:rsidRDefault="001E0C72" w:rsidP="00EE659B"/>
        </w:tc>
        <w:tc>
          <w:tcPr>
            <w:tcW w:w="8516" w:type="dxa"/>
          </w:tcPr>
          <w:p w14:paraId="403A4DBD" w14:textId="77777777" w:rsidR="001E0C72" w:rsidRPr="00D42A16" w:rsidRDefault="001E0C72"/>
          <w:p w14:paraId="468A91C9" w14:textId="2D733757" w:rsidR="001E0C72" w:rsidRPr="00D42A16" w:rsidRDefault="001E0C72">
            <w:r w:rsidRPr="00D42A16">
              <w:t xml:space="preserve">* </w:t>
            </w:r>
            <w:hyperlink r:id="rId16" w:history="1">
              <w:r w:rsidRPr="00D42A16">
                <w:rPr>
                  <w:rStyle w:val="Hyperlink"/>
                </w:rPr>
                <w:t xml:space="preserve">Perfect 10 v. </w:t>
              </w:r>
              <w:proofErr w:type="spellStart"/>
              <w:r w:rsidRPr="00D42A16">
                <w:rPr>
                  <w:rStyle w:val="Hyperlink"/>
                </w:rPr>
                <w:t>CCBill</w:t>
              </w:r>
              <w:proofErr w:type="spellEnd"/>
            </w:hyperlink>
          </w:p>
          <w:p w14:paraId="03ADA332" w14:textId="30C8103B" w:rsidR="001E0C72" w:rsidRPr="00D42A16" w:rsidRDefault="001E0C72">
            <w:r w:rsidRPr="00D42A16">
              <w:t xml:space="preserve">* </w:t>
            </w:r>
            <w:hyperlink r:id="rId17" w:history="1">
              <w:r w:rsidRPr="00D42A16">
                <w:rPr>
                  <w:rStyle w:val="Hyperlink"/>
                </w:rPr>
                <w:t>Capitol Records v. MP3Tunes</w:t>
              </w:r>
            </w:hyperlink>
          </w:p>
          <w:p w14:paraId="69AF00E3" w14:textId="12C68480" w:rsidR="001E0C72" w:rsidRPr="00D42A16" w:rsidRDefault="001E0C72" w:rsidP="00A14AC6"/>
        </w:tc>
        <w:tc>
          <w:tcPr>
            <w:tcW w:w="1586" w:type="dxa"/>
          </w:tcPr>
          <w:p w14:paraId="17C517A4" w14:textId="77777777" w:rsidR="001E0C72" w:rsidRDefault="001E0C72"/>
          <w:p w14:paraId="79C1F228" w14:textId="4BD14E32" w:rsidR="001E0C72" w:rsidRDefault="001E0C72">
            <w:r>
              <w:t>Feb 6</w:t>
            </w:r>
          </w:p>
        </w:tc>
        <w:tc>
          <w:tcPr>
            <w:tcW w:w="1586" w:type="dxa"/>
          </w:tcPr>
          <w:p w14:paraId="7148A24A" w14:textId="77777777" w:rsidR="001E0C72" w:rsidRDefault="001E0C72"/>
        </w:tc>
      </w:tr>
      <w:tr w:rsidR="001E0C72" w14:paraId="2A05BE09" w14:textId="0A86D85D" w:rsidTr="001E0C72">
        <w:tc>
          <w:tcPr>
            <w:tcW w:w="1762" w:type="dxa"/>
          </w:tcPr>
          <w:p w14:paraId="518352D0" w14:textId="77777777" w:rsidR="001E0C72" w:rsidRDefault="001E0C72" w:rsidP="00A14AC6"/>
          <w:p w14:paraId="360CD52C" w14:textId="77777777" w:rsidR="001E0C72" w:rsidRDefault="001E0C72" w:rsidP="00A14AC6">
            <w:r>
              <w:t xml:space="preserve">3. Product Design and Operation outside the DMCA </w:t>
            </w:r>
          </w:p>
          <w:p w14:paraId="19414B38" w14:textId="3D576A5A" w:rsidR="001E0C72" w:rsidRDefault="001E0C72" w:rsidP="00A14AC6"/>
        </w:tc>
        <w:tc>
          <w:tcPr>
            <w:tcW w:w="8516" w:type="dxa"/>
          </w:tcPr>
          <w:p w14:paraId="255AD885" w14:textId="77777777" w:rsidR="001E0C72" w:rsidRDefault="001E0C72"/>
          <w:p w14:paraId="4F648708" w14:textId="14C9FD11" w:rsidR="001E0C72" w:rsidRDefault="001E0C72">
            <w:r>
              <w:t xml:space="preserve">* </w:t>
            </w:r>
            <w:hyperlink r:id="rId18" w:history="1">
              <w:r w:rsidRPr="00012055">
                <w:rPr>
                  <w:rStyle w:val="Hyperlink"/>
                </w:rPr>
                <w:t>Perfect 10 v Amazon</w:t>
              </w:r>
            </w:hyperlink>
            <w:r>
              <w:rPr>
                <w:rStyle w:val="Hyperlink"/>
              </w:rPr>
              <w:t xml:space="preserve"> </w:t>
            </w:r>
          </w:p>
          <w:p w14:paraId="5DBCF6C6" w14:textId="0426D84D" w:rsidR="001E0C72" w:rsidRDefault="001E0C72">
            <w:r>
              <w:t xml:space="preserve">* </w:t>
            </w:r>
            <w:hyperlink r:id="rId19" w:history="1">
              <w:r w:rsidRPr="00A9559B">
                <w:rPr>
                  <w:rStyle w:val="Hyperlink"/>
                </w:rPr>
                <w:t>Cartoon Network v. CSC Holdings</w:t>
              </w:r>
            </w:hyperlink>
            <w:r>
              <w:rPr>
                <w:rStyle w:val="Hyperlink"/>
              </w:rPr>
              <w:t xml:space="preserve"> </w:t>
            </w:r>
          </w:p>
          <w:p w14:paraId="1391890E" w14:textId="7EB31EE1" w:rsidR="001E0C72" w:rsidRDefault="001E0C72" w:rsidP="00A14AC6"/>
        </w:tc>
        <w:tc>
          <w:tcPr>
            <w:tcW w:w="1586" w:type="dxa"/>
          </w:tcPr>
          <w:p w14:paraId="2931307F" w14:textId="77777777" w:rsidR="001E0C72" w:rsidRDefault="001E0C72"/>
          <w:p w14:paraId="51439DB3" w14:textId="37B1BC64" w:rsidR="001E0C72" w:rsidRDefault="001E0C72">
            <w:r>
              <w:t>Feb 13</w:t>
            </w:r>
          </w:p>
        </w:tc>
        <w:tc>
          <w:tcPr>
            <w:tcW w:w="1586" w:type="dxa"/>
          </w:tcPr>
          <w:p w14:paraId="7227156A" w14:textId="77777777" w:rsidR="001E0C72" w:rsidRDefault="001E0C72"/>
        </w:tc>
      </w:tr>
      <w:tr w:rsidR="001E0C72" w14:paraId="44A2D855" w14:textId="606D7519" w:rsidTr="001E0C72">
        <w:tc>
          <w:tcPr>
            <w:tcW w:w="1762" w:type="dxa"/>
          </w:tcPr>
          <w:p w14:paraId="5F1E4B3B" w14:textId="77777777" w:rsidR="001E0C72" w:rsidRDefault="001E0C72" w:rsidP="00171B3E"/>
          <w:p w14:paraId="39582939" w14:textId="7AA319B3" w:rsidR="001E0C72" w:rsidRPr="00406692" w:rsidRDefault="001E0C72" w:rsidP="00D42A16">
            <w:pPr>
              <w:rPr>
                <w:i/>
              </w:rPr>
            </w:pPr>
            <w:r w:rsidRPr="00D15D68">
              <w:t>C. Intermediary Liability Outside the US</w:t>
            </w:r>
            <w:r w:rsidR="00D42A16">
              <w:t xml:space="preserve"> (mostly EU)</w:t>
            </w:r>
            <w:r>
              <w:t xml:space="preserve"> </w:t>
            </w:r>
          </w:p>
        </w:tc>
        <w:tc>
          <w:tcPr>
            <w:tcW w:w="8516" w:type="dxa"/>
          </w:tcPr>
          <w:p w14:paraId="28390122" w14:textId="77777777" w:rsidR="001E0C72" w:rsidRDefault="001E0C72" w:rsidP="00171B3E"/>
          <w:p w14:paraId="6417F9B5" w14:textId="684CEF3F" w:rsidR="001E0C72" w:rsidRPr="00D15D68" w:rsidRDefault="001E0C72" w:rsidP="00171B3E">
            <w:r w:rsidRPr="00D15D68">
              <w:t xml:space="preserve">* </w:t>
            </w:r>
            <w:hyperlink r:id="rId20" w:history="1">
              <w:r w:rsidRPr="003737B1">
                <w:rPr>
                  <w:rStyle w:val="Hyperlink"/>
                </w:rPr>
                <w:t>EU Copyright Directive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— </w:t>
            </w:r>
            <w:r w:rsidRPr="001F3024">
              <w:rPr>
                <w:i/>
              </w:rPr>
              <w:t>only read</w:t>
            </w:r>
            <w:r>
              <w:t xml:space="preserve"> A</w:t>
            </w:r>
            <w:r w:rsidRPr="00406692">
              <w:t>rticle 5, Exceptions and Limitations</w:t>
            </w:r>
          </w:p>
          <w:p w14:paraId="06D3903D" w14:textId="48C6B8CE" w:rsidR="001E0C72" w:rsidRPr="00D42A16" w:rsidRDefault="001E0C72" w:rsidP="00171B3E">
            <w:pPr>
              <w:rPr>
                <w:rStyle w:val="Hyperlink"/>
              </w:rPr>
            </w:pPr>
            <w:r w:rsidRPr="00D15D68">
              <w:t xml:space="preserve">* </w:t>
            </w:r>
            <w:hyperlink r:id="rId21" w:history="1">
              <w:r w:rsidRPr="003737B1">
                <w:rPr>
                  <w:rStyle w:val="Hyperlink"/>
                </w:rPr>
                <w:t>EU E</w:t>
              </w:r>
              <w:r>
                <w:rPr>
                  <w:rStyle w:val="Hyperlink"/>
                </w:rPr>
                <w:t>-C</w:t>
              </w:r>
              <w:r w:rsidRPr="003737B1">
                <w:rPr>
                  <w:rStyle w:val="Hyperlink"/>
                </w:rPr>
                <w:t>ommerce Directive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— </w:t>
            </w:r>
            <w:r w:rsidRPr="001F3024">
              <w:rPr>
                <w:i/>
              </w:rPr>
              <w:t>only read</w:t>
            </w:r>
            <w:r>
              <w:t xml:space="preserve"> </w:t>
            </w:r>
            <w:r w:rsidRPr="00406692">
              <w:t xml:space="preserve">Articles 12-15 on Liability of </w:t>
            </w:r>
            <w:r w:rsidRPr="00D42A16">
              <w:t>Intermediary Service Providers</w:t>
            </w:r>
          </w:p>
          <w:p w14:paraId="7D5134D2" w14:textId="5789F9ED" w:rsidR="001E0C72" w:rsidRPr="00D42A16" w:rsidRDefault="001E0C72" w:rsidP="00171B3E">
            <w:r w:rsidRPr="00D42A16">
              <w:t xml:space="preserve">* </w:t>
            </w:r>
            <w:hyperlink r:id="rId22" w:history="1">
              <w:r w:rsidRPr="00D42A16">
                <w:rPr>
                  <w:rStyle w:val="Hyperlink"/>
                </w:rPr>
                <w:t xml:space="preserve">SABAM v </w:t>
              </w:r>
              <w:proofErr w:type="spellStart"/>
              <w:r w:rsidRPr="00D42A16">
                <w:rPr>
                  <w:rStyle w:val="Hyperlink"/>
                </w:rPr>
                <w:t>Netlog</w:t>
              </w:r>
              <w:proofErr w:type="spellEnd"/>
            </w:hyperlink>
            <w:r w:rsidRPr="00D42A16">
              <w:rPr>
                <w:rStyle w:val="Hyperlink"/>
              </w:rPr>
              <w:t xml:space="preserve"> </w:t>
            </w:r>
            <w:r w:rsidRPr="00D42A16">
              <w:t>CJEU ruling</w:t>
            </w:r>
          </w:p>
          <w:p w14:paraId="7C7945C6" w14:textId="692BFCB1" w:rsidR="001E0C72" w:rsidRPr="00D42A16" w:rsidRDefault="001E0C72" w:rsidP="00171B3E">
            <w:pPr>
              <w:rPr>
                <w:rStyle w:val="Hyperlink"/>
              </w:rPr>
            </w:pPr>
            <w:r w:rsidRPr="00D42A16">
              <w:t xml:space="preserve">* Stanford CIS </w:t>
            </w:r>
            <w:hyperlink r:id="rId23" w:history="1">
              <w:r w:rsidRPr="00D42A16">
                <w:rPr>
                  <w:rStyle w:val="Hyperlink"/>
                </w:rPr>
                <w:t>blog post</w:t>
              </w:r>
            </w:hyperlink>
            <w:r w:rsidRPr="00D42A16">
              <w:t xml:space="preserve"> on ECHR ruling in </w:t>
            </w:r>
            <w:proofErr w:type="spellStart"/>
            <w:r w:rsidRPr="00D42A16">
              <w:rPr>
                <w:u w:val="single"/>
              </w:rPr>
              <w:t>Delfi</w:t>
            </w:r>
            <w:proofErr w:type="spellEnd"/>
            <w:r w:rsidRPr="00D42A16">
              <w:rPr>
                <w:u w:val="single"/>
              </w:rPr>
              <w:t xml:space="preserve"> AS v. Estonia</w:t>
            </w:r>
          </w:p>
          <w:p w14:paraId="694880F7" w14:textId="75F54319" w:rsidR="001E0C72" w:rsidRPr="001B157F" w:rsidRDefault="001E0C72" w:rsidP="008717D7">
            <w:pPr>
              <w:rPr>
                <w:i/>
              </w:rPr>
            </w:pPr>
            <w:r w:rsidRPr="001E0C72">
              <w:t xml:space="preserve">* </w:t>
            </w:r>
            <w:hyperlink r:id="rId24" w:history="1">
              <w:r w:rsidRPr="001E0C72">
                <w:rPr>
                  <w:rStyle w:val="Hyperlink"/>
                </w:rPr>
                <w:t>Overview</w:t>
              </w:r>
            </w:hyperlink>
            <w:r w:rsidRPr="001E0C72">
              <w:t xml:space="preserve"> of Remote DVR </w:t>
            </w:r>
            <w:proofErr w:type="spellStart"/>
            <w:r w:rsidRPr="001B157F">
              <w:t>caselaw</w:t>
            </w:r>
            <w:proofErr w:type="spellEnd"/>
            <w:r w:rsidRPr="001B157F">
              <w:t xml:space="preserve"> in Japan, Korea, and Singapore</w:t>
            </w:r>
            <w:r>
              <w:t xml:space="preserve"> – </w:t>
            </w:r>
            <w:r>
              <w:rPr>
                <w:i/>
              </w:rPr>
              <w:t>skim, this is dated and not authoritative</w:t>
            </w:r>
          </w:p>
          <w:p w14:paraId="53D75F09" w14:textId="77E982E8" w:rsidR="001E0C72" w:rsidRPr="00D15D68" w:rsidRDefault="001E0C72" w:rsidP="008717D7"/>
        </w:tc>
        <w:tc>
          <w:tcPr>
            <w:tcW w:w="1586" w:type="dxa"/>
          </w:tcPr>
          <w:p w14:paraId="2DED4201" w14:textId="77777777" w:rsidR="001E0C72" w:rsidRDefault="001E0C72"/>
          <w:p w14:paraId="0865CE2A" w14:textId="38951535" w:rsidR="001E0C72" w:rsidRPr="00D15D68" w:rsidRDefault="001E0C72">
            <w:r>
              <w:t>Feb 20</w:t>
            </w:r>
          </w:p>
        </w:tc>
        <w:tc>
          <w:tcPr>
            <w:tcW w:w="1586" w:type="dxa"/>
          </w:tcPr>
          <w:p w14:paraId="62322801" w14:textId="77777777" w:rsidR="001E0C72" w:rsidRDefault="001E0C72"/>
        </w:tc>
      </w:tr>
      <w:tr w:rsidR="001E0C72" w14:paraId="63499990" w14:textId="3935AC18" w:rsidTr="001E0C72">
        <w:tc>
          <w:tcPr>
            <w:tcW w:w="1762" w:type="dxa"/>
          </w:tcPr>
          <w:p w14:paraId="0209F33D" w14:textId="77777777" w:rsidR="001E0C72" w:rsidRDefault="001E0C72" w:rsidP="00171B3E"/>
          <w:p w14:paraId="3651FBC3" w14:textId="17538236" w:rsidR="001E0C72" w:rsidRPr="00D15D68" w:rsidRDefault="001E0C72" w:rsidP="00171B3E">
            <w:r w:rsidRPr="00D15D68">
              <w:t>D. Legal Removals “Gotchas”</w:t>
            </w:r>
            <w:r>
              <w:t xml:space="preserve"> </w:t>
            </w:r>
          </w:p>
        </w:tc>
        <w:tc>
          <w:tcPr>
            <w:tcW w:w="8516" w:type="dxa"/>
          </w:tcPr>
          <w:p w14:paraId="52C51A97" w14:textId="77777777" w:rsidR="001E0C72" w:rsidRDefault="001E0C72" w:rsidP="00171B3E"/>
          <w:p w14:paraId="03BB7464" w14:textId="169A50CE" w:rsidR="001E0C72" w:rsidRDefault="001E0C72" w:rsidP="00171B3E">
            <w:pPr>
              <w:rPr>
                <w:rStyle w:val="Hyperlink"/>
              </w:rPr>
            </w:pPr>
            <w:r>
              <w:t xml:space="preserve">* </w:t>
            </w:r>
            <w:hyperlink r:id="rId25" w:history="1">
              <w:r w:rsidRPr="00E9654A">
                <w:rPr>
                  <w:rStyle w:val="Hyperlink"/>
                </w:rPr>
                <w:t>Sample Patient Contract from Medical Justice</w:t>
              </w:r>
            </w:hyperlink>
          </w:p>
          <w:p w14:paraId="06D49E1E" w14:textId="77777777" w:rsidR="001E0C72" w:rsidRDefault="001E0C72" w:rsidP="00171B3E">
            <w:r>
              <w:t xml:space="preserve">* </w:t>
            </w:r>
            <w:proofErr w:type="spellStart"/>
            <w:r>
              <w:t>Proskauer’s</w:t>
            </w:r>
            <w:proofErr w:type="spellEnd"/>
            <w:r>
              <w:t xml:space="preserve"> short </w:t>
            </w:r>
            <w:hyperlink r:id="rId26" w:history="1">
              <w:r w:rsidRPr="001B157F">
                <w:rPr>
                  <w:rStyle w:val="Hyperlink"/>
                </w:rPr>
                <w:t>summary</w:t>
              </w:r>
            </w:hyperlink>
            <w:r>
              <w:t xml:space="preserve"> of </w:t>
            </w:r>
            <w:proofErr w:type="spellStart"/>
            <w:r>
              <w:rPr>
                <w:u w:val="single"/>
              </w:rPr>
              <w:t>Friendfinder</w:t>
            </w:r>
            <w:proofErr w:type="spellEnd"/>
            <w:r>
              <w:t xml:space="preserve"> case</w:t>
            </w:r>
          </w:p>
          <w:p w14:paraId="6B4D2283" w14:textId="25C29155" w:rsidR="001E0C72" w:rsidRPr="00092E2A" w:rsidRDefault="001E0C72" w:rsidP="00171B3E">
            <w:r>
              <w:t xml:space="preserve">* Wired </w:t>
            </w:r>
            <w:hyperlink r:id="rId27" w:history="1">
              <w:r w:rsidRPr="00406692">
                <w:rPr>
                  <w:rStyle w:val="Hyperlink"/>
                </w:rPr>
                <w:t>Coverage</w:t>
              </w:r>
            </w:hyperlink>
            <w:r>
              <w:t xml:space="preserve"> of Theflyonthewall.com Hot News Case</w:t>
            </w:r>
          </w:p>
          <w:p w14:paraId="1C395E23" w14:textId="42939E63" w:rsidR="001E0C72" w:rsidRPr="00A13577" w:rsidRDefault="001E0C72" w:rsidP="00171B3E">
            <w:pPr>
              <w:rPr>
                <w:i/>
              </w:rPr>
            </w:pPr>
            <w:r w:rsidRPr="00D15D68">
              <w:t xml:space="preserve">* </w:t>
            </w:r>
            <w:hyperlink r:id="rId28" w:history="1">
              <w:r w:rsidRPr="00092E2A">
                <w:rPr>
                  <w:rStyle w:val="Hyperlink"/>
                </w:rPr>
                <w:t>Hermes Court Order</w:t>
              </w:r>
            </w:hyperlink>
            <w:r w:rsidRPr="00D15D68">
              <w:t xml:space="preserve"> </w:t>
            </w:r>
            <w:r w:rsidR="00A13577">
              <w:t xml:space="preserve">– </w:t>
            </w:r>
            <w:r w:rsidR="00A13577">
              <w:rPr>
                <w:i/>
              </w:rPr>
              <w:t>focus on the list of orders at the end</w:t>
            </w:r>
          </w:p>
          <w:p w14:paraId="4236264F" w14:textId="0B6DDD92" w:rsidR="001E0C72" w:rsidRDefault="001E0C72" w:rsidP="00171B3E">
            <w:pPr>
              <w:rPr>
                <w:rStyle w:val="Hyperlink"/>
              </w:rPr>
            </w:pPr>
            <w:r>
              <w:t xml:space="preserve">* Jeffrey Rosen, </w:t>
            </w:r>
            <w:hyperlink r:id="rId29" w:history="1">
              <w:r w:rsidRPr="001A4683">
                <w:rPr>
                  <w:rStyle w:val="Hyperlink"/>
                </w:rPr>
                <w:t>The Right to Be Forgotten</w:t>
              </w:r>
            </w:hyperlink>
          </w:p>
          <w:p w14:paraId="28D14D02" w14:textId="5801198A" w:rsidR="001E0C72" w:rsidRPr="00D15D68" w:rsidRDefault="001E0C72" w:rsidP="00D42A16"/>
        </w:tc>
        <w:tc>
          <w:tcPr>
            <w:tcW w:w="1586" w:type="dxa"/>
          </w:tcPr>
          <w:p w14:paraId="6E99EBDF" w14:textId="77777777" w:rsidR="001E0C72" w:rsidRDefault="001E0C72"/>
          <w:p w14:paraId="008401E7" w14:textId="4A5B53AA" w:rsidR="001E0C72" w:rsidRPr="00D15D68" w:rsidRDefault="001E0C72">
            <w:r>
              <w:t>Feb 27</w:t>
            </w:r>
          </w:p>
        </w:tc>
        <w:tc>
          <w:tcPr>
            <w:tcW w:w="1586" w:type="dxa"/>
          </w:tcPr>
          <w:p w14:paraId="5B17E69D" w14:textId="5E1DED79" w:rsidR="001E0C72" w:rsidRDefault="001E0C72"/>
        </w:tc>
      </w:tr>
      <w:tr w:rsidR="001E0C72" w14:paraId="600E5624" w14:textId="3EF70354" w:rsidTr="001E0C72">
        <w:tc>
          <w:tcPr>
            <w:tcW w:w="1762" w:type="dxa"/>
          </w:tcPr>
          <w:p w14:paraId="52C17BA3" w14:textId="77777777" w:rsidR="001E0C72" w:rsidRDefault="001E0C72" w:rsidP="00D9671F">
            <w:pPr>
              <w:rPr>
                <w:b/>
              </w:rPr>
            </w:pPr>
          </w:p>
          <w:p w14:paraId="63B10BB5" w14:textId="77777777" w:rsidR="001E0C72" w:rsidRDefault="001E0C72" w:rsidP="00D9671F">
            <w:pPr>
              <w:rPr>
                <w:b/>
              </w:rPr>
            </w:pPr>
          </w:p>
          <w:p w14:paraId="23D78FEE" w14:textId="77777777" w:rsidR="001E0C72" w:rsidRDefault="001E0C72" w:rsidP="00D9671F">
            <w:pPr>
              <w:rPr>
                <w:b/>
              </w:rPr>
            </w:pPr>
            <w:r w:rsidRPr="00117325">
              <w:rPr>
                <w:b/>
              </w:rPr>
              <w:t xml:space="preserve">III. Jurisdiction Concerns in Internationalizing your Products </w:t>
            </w:r>
          </w:p>
          <w:p w14:paraId="127D86BA" w14:textId="3AA8A0CB" w:rsidR="001E0C72" w:rsidRPr="00117325" w:rsidRDefault="001E0C72" w:rsidP="00D9671F">
            <w:pPr>
              <w:rPr>
                <w:b/>
              </w:rPr>
            </w:pPr>
          </w:p>
        </w:tc>
        <w:tc>
          <w:tcPr>
            <w:tcW w:w="8516" w:type="dxa"/>
          </w:tcPr>
          <w:p w14:paraId="1A1B0363" w14:textId="77777777" w:rsidR="001E0C72" w:rsidRDefault="001E0C72"/>
          <w:p w14:paraId="195D9E45" w14:textId="77777777" w:rsidR="001E0C72" w:rsidRDefault="001E0C72"/>
          <w:p w14:paraId="1F3F2BC0" w14:textId="406266EE" w:rsidR="001E0C72" w:rsidRDefault="001E0C72">
            <w:r>
              <w:t xml:space="preserve">* Goldsmith and Wu, </w:t>
            </w:r>
            <w:hyperlink r:id="rId30" w:history="1">
              <w:r w:rsidRPr="002F209B">
                <w:rPr>
                  <w:rStyle w:val="Hyperlink"/>
                </w:rPr>
                <w:t>Digital Borders</w:t>
              </w:r>
            </w:hyperlink>
            <w:r>
              <w:rPr>
                <w:rStyle w:val="Hyperlink"/>
              </w:rPr>
              <w:t xml:space="preserve"> </w:t>
            </w:r>
          </w:p>
          <w:p w14:paraId="262869E1" w14:textId="1DC9540E" w:rsidR="001E0C72" w:rsidRDefault="001E0C72">
            <w:r>
              <w:rPr>
                <w:b/>
              </w:rPr>
              <w:t xml:space="preserve">* </w:t>
            </w:r>
            <w:hyperlink r:id="rId31" w:history="1">
              <w:r w:rsidRPr="001B2A54">
                <w:rPr>
                  <w:rStyle w:val="Hyperlink"/>
                </w:rPr>
                <w:t xml:space="preserve">Dow Jones v. </w:t>
              </w:r>
              <w:proofErr w:type="spellStart"/>
              <w:r w:rsidRPr="001B2A54">
                <w:rPr>
                  <w:rStyle w:val="Hyperlink"/>
                </w:rPr>
                <w:t>Gutnick</w:t>
              </w:r>
              <w:proofErr w:type="spellEnd"/>
            </w:hyperlink>
            <w:r w:rsidRPr="001B2A54">
              <w:t xml:space="preserve"> </w:t>
            </w:r>
            <w:r>
              <w:t>–Paragraphs 1-55</w:t>
            </w:r>
          </w:p>
          <w:p w14:paraId="058B15B1" w14:textId="1C3D04DE" w:rsidR="001E0C72" w:rsidRDefault="001E0C72">
            <w:r>
              <w:t xml:space="preserve">* SPEECH Act </w:t>
            </w:r>
            <w:hyperlink r:id="rId32" w:history="1">
              <w:r w:rsidRPr="00075D81">
                <w:rPr>
                  <w:rStyle w:val="Hyperlink"/>
                </w:rPr>
                <w:t>context</w:t>
              </w:r>
            </w:hyperlink>
            <w:r>
              <w:t xml:space="preserve"> and </w:t>
            </w:r>
            <w:hyperlink r:id="rId33" w:history="1">
              <w:r w:rsidRPr="00075D81">
                <w:rPr>
                  <w:rStyle w:val="Hyperlink"/>
                </w:rPr>
                <w:t>statute</w:t>
              </w:r>
            </w:hyperlink>
            <w:r>
              <w:rPr>
                <w:rStyle w:val="Hyperlink"/>
              </w:rPr>
              <w:t xml:space="preserve"> </w:t>
            </w:r>
          </w:p>
          <w:p w14:paraId="74A65520" w14:textId="4A7081CA" w:rsidR="001E0C72" w:rsidRPr="00A263FB" w:rsidRDefault="001E0C72">
            <w:pPr>
              <w:rPr>
                <w:b/>
              </w:rPr>
            </w:pPr>
          </w:p>
        </w:tc>
        <w:tc>
          <w:tcPr>
            <w:tcW w:w="1586" w:type="dxa"/>
          </w:tcPr>
          <w:p w14:paraId="378D8479" w14:textId="77777777" w:rsidR="001E0C72" w:rsidRDefault="001E0C72"/>
          <w:p w14:paraId="4B1FF3C4" w14:textId="77777777" w:rsidR="001E0C72" w:rsidRDefault="001E0C72"/>
          <w:p w14:paraId="2C1C9860" w14:textId="2CA5908D" w:rsidR="001E0C72" w:rsidRDefault="001E0C72">
            <w:r>
              <w:t>Feb 28 MAKE-UP FRIDAY CLASS in Room 141</w:t>
            </w:r>
          </w:p>
        </w:tc>
        <w:tc>
          <w:tcPr>
            <w:tcW w:w="1586" w:type="dxa"/>
          </w:tcPr>
          <w:p w14:paraId="254795BE" w14:textId="77777777" w:rsidR="001E0C72" w:rsidRDefault="001E0C72"/>
        </w:tc>
      </w:tr>
      <w:tr w:rsidR="001E0C72" w14:paraId="3B65FC8F" w14:textId="464866E6" w:rsidTr="001E0C72">
        <w:tc>
          <w:tcPr>
            <w:tcW w:w="11864" w:type="dxa"/>
            <w:gridSpan w:val="3"/>
          </w:tcPr>
          <w:p w14:paraId="1FB95C41" w14:textId="77777777" w:rsidR="001E0C72" w:rsidRDefault="001E0C72" w:rsidP="00FB4F81">
            <w:pPr>
              <w:rPr>
                <w:b/>
              </w:rPr>
            </w:pPr>
          </w:p>
          <w:p w14:paraId="2514E555" w14:textId="77777777" w:rsidR="001E0C72" w:rsidRDefault="001E0C72" w:rsidP="00FB4F81">
            <w:pPr>
              <w:rPr>
                <w:b/>
              </w:rPr>
            </w:pPr>
          </w:p>
          <w:p w14:paraId="139544F7" w14:textId="77777777" w:rsidR="001E0C72" w:rsidRDefault="001E0C72" w:rsidP="00FB4F81">
            <w:pPr>
              <w:rPr>
                <w:b/>
              </w:rPr>
            </w:pPr>
            <w:r w:rsidRPr="00117325">
              <w:rPr>
                <w:b/>
              </w:rPr>
              <w:t>IV. Direct Use of Third Party Content and Data</w:t>
            </w:r>
          </w:p>
          <w:p w14:paraId="20A6D5D4" w14:textId="010499E8" w:rsidR="001E0C72" w:rsidRPr="00117325" w:rsidRDefault="001E0C72" w:rsidP="00FB4F81">
            <w:pPr>
              <w:rPr>
                <w:b/>
              </w:rPr>
            </w:pPr>
          </w:p>
        </w:tc>
        <w:tc>
          <w:tcPr>
            <w:tcW w:w="1586" w:type="dxa"/>
          </w:tcPr>
          <w:p w14:paraId="62A06D54" w14:textId="77777777" w:rsidR="001E0C72" w:rsidRDefault="001E0C72" w:rsidP="00FB4F81">
            <w:pPr>
              <w:rPr>
                <w:b/>
              </w:rPr>
            </w:pPr>
          </w:p>
        </w:tc>
      </w:tr>
      <w:tr w:rsidR="001E0C72" w14:paraId="3F360FCE" w14:textId="3F8F1F4F" w:rsidTr="001E0C72">
        <w:tc>
          <w:tcPr>
            <w:tcW w:w="1762" w:type="dxa"/>
          </w:tcPr>
          <w:p w14:paraId="2DAEBECE" w14:textId="77777777" w:rsidR="001E0C72" w:rsidRDefault="001E0C72"/>
          <w:p w14:paraId="3C9C4702" w14:textId="77777777" w:rsidR="001E0C72" w:rsidRDefault="001E0C72">
            <w:r>
              <w:t>A. “Scraping” content from third parties</w:t>
            </w:r>
          </w:p>
          <w:p w14:paraId="5D1CE599" w14:textId="28D443BF" w:rsidR="001E0C72" w:rsidRDefault="001E0C72"/>
        </w:tc>
        <w:tc>
          <w:tcPr>
            <w:tcW w:w="8516" w:type="dxa"/>
          </w:tcPr>
          <w:p w14:paraId="23DA9EE8" w14:textId="77777777" w:rsidR="001E0C72" w:rsidRDefault="001E0C72"/>
          <w:p w14:paraId="7237AE5B" w14:textId="61D3D119" w:rsidR="001E0C72" w:rsidRDefault="001E0C72">
            <w:r>
              <w:t xml:space="preserve">* </w:t>
            </w:r>
            <w:r w:rsidRPr="00A9559B">
              <w:rPr>
                <w:i/>
              </w:rPr>
              <w:t>Recommended but not required:</w:t>
            </w:r>
            <w:r>
              <w:t xml:space="preserve"> </w:t>
            </w:r>
            <w:hyperlink r:id="rId34" w:history="1">
              <w:r w:rsidRPr="009B5805">
                <w:rPr>
                  <w:rStyle w:val="Hyperlink"/>
                </w:rPr>
                <w:t>CFAA</w:t>
              </w:r>
            </w:hyperlink>
            <w:r>
              <w:rPr>
                <w:rStyle w:val="Hyperlink"/>
              </w:rPr>
              <w:t xml:space="preserve"> </w:t>
            </w:r>
          </w:p>
          <w:p w14:paraId="117D350D" w14:textId="14768EB5" w:rsidR="001E0C72" w:rsidRDefault="001E0C72">
            <w:r>
              <w:t xml:space="preserve">* </w:t>
            </w:r>
            <w:hyperlink r:id="rId35" w:history="1">
              <w:r w:rsidRPr="009B5805">
                <w:rPr>
                  <w:rStyle w:val="Hyperlink"/>
                </w:rPr>
                <w:t xml:space="preserve">US v. </w:t>
              </w:r>
              <w:proofErr w:type="spellStart"/>
              <w:r w:rsidRPr="009B5805">
                <w:rPr>
                  <w:rStyle w:val="Hyperlink"/>
                </w:rPr>
                <w:t>Nosal</w:t>
              </w:r>
              <w:proofErr w:type="spellEnd"/>
            </w:hyperlink>
            <w:r>
              <w:rPr>
                <w:rStyle w:val="Hyperlink"/>
              </w:rPr>
              <w:t xml:space="preserve"> </w:t>
            </w:r>
          </w:p>
          <w:p w14:paraId="16098DA4" w14:textId="77777777" w:rsidR="001E0C72" w:rsidRDefault="001E0C72" w:rsidP="00D15D68">
            <w:pPr>
              <w:rPr>
                <w:rStyle w:val="Hyperlink"/>
              </w:rPr>
            </w:pPr>
            <w:r>
              <w:t xml:space="preserve">* </w:t>
            </w:r>
            <w:hyperlink r:id="rId36" w:history="1">
              <w:r w:rsidRPr="00D15D68">
                <w:rPr>
                  <w:rStyle w:val="Hyperlink"/>
                </w:rPr>
                <w:t>Snap-On v. O’Neil</w:t>
              </w:r>
            </w:hyperlink>
            <w:r>
              <w:rPr>
                <w:rStyle w:val="Hyperlink"/>
              </w:rPr>
              <w:t xml:space="preserve"> </w:t>
            </w:r>
          </w:p>
          <w:p w14:paraId="71333F60" w14:textId="0FA06751" w:rsidR="001E0C72" w:rsidRPr="00AA0456" w:rsidRDefault="001E0C72" w:rsidP="00D15D68">
            <w:pPr>
              <w:rPr>
                <w:rStyle w:val="Hyperlink"/>
                <w:color w:val="auto"/>
                <w:u w:val="none"/>
              </w:rPr>
            </w:pPr>
            <w:r w:rsidRPr="001E0C72">
              <w:rPr>
                <w:rStyle w:val="Hyperlink"/>
                <w:color w:val="auto"/>
                <w:u w:val="none"/>
              </w:rPr>
              <w:t xml:space="preserve">* </w:t>
            </w:r>
            <w:r w:rsidRPr="00AA0456">
              <w:rPr>
                <w:rStyle w:val="Hyperlink"/>
                <w:color w:val="auto"/>
                <w:u w:val="none"/>
              </w:rPr>
              <w:t xml:space="preserve">Hypothetical for Class Discussion </w:t>
            </w:r>
            <w:r w:rsidRPr="00D42A16">
              <w:rPr>
                <w:rStyle w:val="Hyperlink"/>
                <w:color w:val="auto"/>
                <w:u w:val="none"/>
              </w:rPr>
              <w:t xml:space="preserve">– </w:t>
            </w:r>
            <w:r w:rsidRPr="00AA0456">
              <w:rPr>
                <w:rStyle w:val="Hyperlink"/>
                <w:i/>
                <w:color w:val="auto"/>
                <w:u w:val="none"/>
              </w:rPr>
              <w:t>to be distributed</w:t>
            </w:r>
          </w:p>
          <w:p w14:paraId="38A10768" w14:textId="7A357E17" w:rsidR="001E0C72" w:rsidRDefault="001E0C72" w:rsidP="00D15D68"/>
        </w:tc>
        <w:tc>
          <w:tcPr>
            <w:tcW w:w="1586" w:type="dxa"/>
          </w:tcPr>
          <w:p w14:paraId="150EFB5B" w14:textId="77777777" w:rsidR="001E0C72" w:rsidRDefault="001E0C72"/>
          <w:p w14:paraId="14A5FF0B" w14:textId="16DAEF76" w:rsidR="001E0C72" w:rsidRDefault="001E0C72">
            <w:r>
              <w:t>Mar 6</w:t>
            </w:r>
          </w:p>
        </w:tc>
        <w:tc>
          <w:tcPr>
            <w:tcW w:w="1586" w:type="dxa"/>
          </w:tcPr>
          <w:p w14:paraId="70B0F3D6" w14:textId="3B02F5F8" w:rsidR="001E0C72" w:rsidRDefault="001E0C72">
            <w:r>
              <w:t>In-Class Scraping Hypothetical Exercise</w:t>
            </w:r>
          </w:p>
        </w:tc>
      </w:tr>
      <w:tr w:rsidR="001E0C72" w14:paraId="6C15647F" w14:textId="4F874649" w:rsidTr="001E0C72">
        <w:tc>
          <w:tcPr>
            <w:tcW w:w="11864" w:type="dxa"/>
            <w:gridSpan w:val="3"/>
          </w:tcPr>
          <w:p w14:paraId="6BE5543F" w14:textId="56132C00" w:rsidR="001E0C72" w:rsidRDefault="001E0C72"/>
          <w:p w14:paraId="57DDD9BD" w14:textId="77777777" w:rsidR="001E0C72" w:rsidRDefault="001E0C72">
            <w:r>
              <w:t>B. Users’ Data</w:t>
            </w:r>
          </w:p>
          <w:p w14:paraId="492002BA" w14:textId="77777777" w:rsidR="001E0C72" w:rsidRDefault="001E0C72"/>
        </w:tc>
        <w:tc>
          <w:tcPr>
            <w:tcW w:w="1586" w:type="dxa"/>
          </w:tcPr>
          <w:p w14:paraId="13A04DF1" w14:textId="77777777" w:rsidR="001E0C72" w:rsidRDefault="001E0C72"/>
        </w:tc>
      </w:tr>
      <w:tr w:rsidR="001E0C72" w14:paraId="36B53C5D" w14:textId="07DACDDA" w:rsidTr="001E0C72">
        <w:tc>
          <w:tcPr>
            <w:tcW w:w="1762" w:type="dxa"/>
          </w:tcPr>
          <w:p w14:paraId="74F71461" w14:textId="77777777" w:rsidR="001E0C72" w:rsidRDefault="001E0C72" w:rsidP="00FB4F81"/>
          <w:p w14:paraId="520CFAE3" w14:textId="1780FB24" w:rsidR="001E0C72" w:rsidRDefault="001E0C72" w:rsidP="00FB4F81">
            <w:r>
              <w:t>1. Product Design and User Privacy</w:t>
            </w:r>
          </w:p>
        </w:tc>
        <w:tc>
          <w:tcPr>
            <w:tcW w:w="8516" w:type="dxa"/>
          </w:tcPr>
          <w:p w14:paraId="45D5BC95" w14:textId="77777777" w:rsidR="001E0C72" w:rsidRDefault="001E0C72" w:rsidP="005558E5"/>
          <w:p w14:paraId="036C31AE" w14:textId="3F077503" w:rsidR="001E0C72" w:rsidRDefault="001E0C72" w:rsidP="005558E5">
            <w:r>
              <w:t xml:space="preserve">* EU Data Protection Summary Pages on </w:t>
            </w:r>
            <w:hyperlink r:id="rId37" w:history="1">
              <w:r w:rsidRPr="008D58EB">
                <w:rPr>
                  <w:rStyle w:val="Hyperlink"/>
                </w:rPr>
                <w:t>Data Controllers</w:t>
              </w:r>
            </w:hyperlink>
            <w:r>
              <w:t xml:space="preserve">, </w:t>
            </w:r>
            <w:hyperlink r:id="rId38" w:history="1">
              <w:r w:rsidRPr="008D58EB">
                <w:rPr>
                  <w:rStyle w:val="Hyperlink"/>
                </w:rPr>
                <w:t>Legal Uses of Personal Data</w:t>
              </w:r>
            </w:hyperlink>
            <w:r>
              <w:t xml:space="preserve">, and </w:t>
            </w:r>
            <w:hyperlink r:id="rId39" w:history="1">
              <w:r w:rsidRPr="008D58EB">
                <w:rPr>
                  <w:rStyle w:val="Hyperlink"/>
                </w:rPr>
                <w:t>Obligations of Controllers</w:t>
              </w:r>
            </w:hyperlink>
            <w:r>
              <w:t xml:space="preserve"> </w:t>
            </w:r>
          </w:p>
          <w:p w14:paraId="11684D29" w14:textId="77777777" w:rsidR="001E0C72" w:rsidRDefault="001E0C72" w:rsidP="00A70EB5">
            <w:r>
              <w:t xml:space="preserve">* Facebook </w:t>
            </w:r>
            <w:hyperlink r:id="rId40" w:history="1">
              <w:r w:rsidRPr="008D58EB">
                <w:rPr>
                  <w:rStyle w:val="Hyperlink"/>
                </w:rPr>
                <w:t>Privacy Policy</w:t>
              </w:r>
            </w:hyperlink>
            <w:r>
              <w:t xml:space="preserve"> – </w:t>
            </w:r>
            <w:r w:rsidRPr="001A747E">
              <w:rPr>
                <w:i/>
              </w:rPr>
              <w:t>please read</w:t>
            </w:r>
            <w:r>
              <w:t xml:space="preserve"> </w:t>
            </w:r>
            <w:r w:rsidRPr="001A747E">
              <w:rPr>
                <w:i/>
              </w:rPr>
              <w:t>the “Information we receive and how it is used” section and skim remaining sections</w:t>
            </w:r>
          </w:p>
          <w:p w14:paraId="39C4BB2D" w14:textId="4115646A" w:rsidR="001E0C72" w:rsidRPr="002F31E9" w:rsidRDefault="001E0C72" w:rsidP="008D58EB">
            <w:pPr>
              <w:rPr>
                <w:i/>
              </w:rPr>
            </w:pPr>
            <w:r w:rsidRPr="002F31E9">
              <w:t xml:space="preserve">* FTC </w:t>
            </w:r>
            <w:hyperlink r:id="rId41" w:history="1">
              <w:r w:rsidRPr="002F31E9">
                <w:rPr>
                  <w:rStyle w:val="Hyperlink"/>
                </w:rPr>
                <w:t>Facebook Enforcement Materials</w:t>
              </w:r>
            </w:hyperlink>
            <w:r w:rsidRPr="002F31E9">
              <w:t xml:space="preserve"> -</w:t>
            </w:r>
            <w:proofErr w:type="gramStart"/>
            <w:r w:rsidRPr="002F31E9">
              <w:t xml:space="preserve">-  </w:t>
            </w:r>
            <w:r w:rsidRPr="002F31E9">
              <w:rPr>
                <w:i/>
              </w:rPr>
              <w:t>please</w:t>
            </w:r>
            <w:proofErr w:type="gramEnd"/>
            <w:r w:rsidRPr="002F31E9">
              <w:rPr>
                <w:i/>
              </w:rPr>
              <w:t xml:space="preserve"> read the Complaint </w:t>
            </w:r>
          </w:p>
          <w:p w14:paraId="7544EB8B" w14:textId="35D82BCF" w:rsidR="002F31E9" w:rsidRPr="002F31E9" w:rsidRDefault="002F31E9" w:rsidP="008D58EB">
            <w:pPr>
              <w:rPr>
                <w:i/>
              </w:rPr>
            </w:pPr>
            <w:r w:rsidRPr="002F31E9">
              <w:t xml:space="preserve">* Privacy Drafting Exercise instructions – </w:t>
            </w:r>
            <w:r w:rsidRPr="002F31E9">
              <w:rPr>
                <w:i/>
              </w:rPr>
              <w:t>to be distributed</w:t>
            </w:r>
          </w:p>
          <w:p w14:paraId="5701A7E9" w14:textId="26D5CBB4" w:rsidR="001E0C72" w:rsidRPr="00A263FB" w:rsidRDefault="001E0C72" w:rsidP="00A70EB5">
            <w:pPr>
              <w:rPr>
                <w:b/>
              </w:rPr>
            </w:pPr>
          </w:p>
        </w:tc>
        <w:tc>
          <w:tcPr>
            <w:tcW w:w="1586" w:type="dxa"/>
          </w:tcPr>
          <w:p w14:paraId="33B076F9" w14:textId="77777777" w:rsidR="001E0C72" w:rsidRDefault="001E0C72" w:rsidP="00D9671F"/>
          <w:p w14:paraId="7593807D" w14:textId="5DF9B7C7" w:rsidR="001E0C72" w:rsidRDefault="001E0C72" w:rsidP="00D9671F">
            <w:r>
              <w:t>Mar 13</w:t>
            </w:r>
          </w:p>
        </w:tc>
        <w:tc>
          <w:tcPr>
            <w:tcW w:w="1586" w:type="dxa"/>
          </w:tcPr>
          <w:p w14:paraId="7017D99E" w14:textId="6CBA0388" w:rsidR="001E0C72" w:rsidRDefault="002F31E9" w:rsidP="00D9671F">
            <w:r>
              <w:t>Take-Home Privacy Drafting Exercise Starts</w:t>
            </w:r>
          </w:p>
        </w:tc>
      </w:tr>
      <w:tr w:rsidR="001E0C72" w14:paraId="1EC50C37" w14:textId="5E046FCB" w:rsidTr="001E0C72">
        <w:tc>
          <w:tcPr>
            <w:tcW w:w="1762" w:type="dxa"/>
          </w:tcPr>
          <w:p w14:paraId="13D0F5F1" w14:textId="77777777" w:rsidR="001E0C72" w:rsidRPr="002F31E9" w:rsidRDefault="001E0C72" w:rsidP="00FB4F81"/>
          <w:p w14:paraId="5743C5A8" w14:textId="614827E0" w:rsidR="001E0C72" w:rsidRPr="002F31E9" w:rsidRDefault="001E0C72" w:rsidP="00FB4F81">
            <w:r w:rsidRPr="00AA0456">
              <w:t xml:space="preserve">2. </w:t>
            </w:r>
            <w:r w:rsidRPr="002F31E9">
              <w:t>Privacy Policies and Responding to Legal Requests for User Data</w:t>
            </w:r>
          </w:p>
        </w:tc>
        <w:tc>
          <w:tcPr>
            <w:tcW w:w="8516" w:type="dxa"/>
          </w:tcPr>
          <w:p w14:paraId="5277DCF7" w14:textId="77777777" w:rsidR="001E0C72" w:rsidRPr="002F31E9" w:rsidRDefault="001E0C72"/>
          <w:p w14:paraId="45F2F754" w14:textId="3EFC70D1" w:rsidR="001E0C72" w:rsidRPr="002F31E9" w:rsidRDefault="001E0C72">
            <w:r w:rsidRPr="002F31E9">
              <w:t xml:space="preserve">* CDT’s </w:t>
            </w:r>
            <w:hyperlink r:id="rId42" w:history="1">
              <w:r w:rsidRPr="002F31E9">
                <w:rPr>
                  <w:rStyle w:val="Hyperlink"/>
                </w:rPr>
                <w:t>ECPA Page</w:t>
              </w:r>
            </w:hyperlink>
          </w:p>
          <w:p w14:paraId="4B81F0D1" w14:textId="77777777" w:rsidR="001E0C72" w:rsidRPr="002F31E9" w:rsidRDefault="001E0C72">
            <w:r w:rsidRPr="002F31E9">
              <w:rPr>
                <w:i/>
              </w:rPr>
              <w:t>* Possible Additional Materials – if something interesting happens</w:t>
            </w:r>
          </w:p>
          <w:p w14:paraId="7580D744" w14:textId="53004C67" w:rsidR="001E0C72" w:rsidRPr="002F31E9" w:rsidRDefault="001E0C72">
            <w:pPr>
              <w:rPr>
                <w:i/>
              </w:rPr>
            </w:pPr>
            <w:r w:rsidRPr="002F31E9">
              <w:rPr>
                <w:i/>
              </w:rPr>
              <w:t xml:space="preserve"> </w:t>
            </w:r>
          </w:p>
          <w:p w14:paraId="072E5290" w14:textId="77777777" w:rsidR="001E0C72" w:rsidRPr="002F31E9" w:rsidRDefault="001E0C72"/>
          <w:p w14:paraId="5E029911" w14:textId="77777777" w:rsidR="001E0C72" w:rsidRPr="002F31E9" w:rsidRDefault="001E0C72" w:rsidP="001E0C72"/>
        </w:tc>
        <w:tc>
          <w:tcPr>
            <w:tcW w:w="1586" w:type="dxa"/>
          </w:tcPr>
          <w:p w14:paraId="5B64D555" w14:textId="77777777" w:rsidR="001E0C72" w:rsidRDefault="001E0C72"/>
          <w:p w14:paraId="24B7159E" w14:textId="500C25C8" w:rsidR="001E0C72" w:rsidRDefault="001E0C72">
            <w:r>
              <w:t>Mar 20</w:t>
            </w:r>
          </w:p>
        </w:tc>
        <w:tc>
          <w:tcPr>
            <w:tcW w:w="1586" w:type="dxa"/>
          </w:tcPr>
          <w:p w14:paraId="6B41A013" w14:textId="429F643D" w:rsidR="001E0C72" w:rsidRDefault="00A13577">
            <w:r>
              <w:t>Take-Home Privacy Drafting Exercise Due</w:t>
            </w:r>
          </w:p>
        </w:tc>
      </w:tr>
      <w:tr w:rsidR="001E0C72" w14:paraId="6A79D266" w14:textId="4FA6F73B" w:rsidTr="001E0C72">
        <w:tc>
          <w:tcPr>
            <w:tcW w:w="11864" w:type="dxa"/>
            <w:gridSpan w:val="3"/>
          </w:tcPr>
          <w:p w14:paraId="46590368" w14:textId="15071F12" w:rsidR="001E0C72" w:rsidRDefault="001E0C72">
            <w:pPr>
              <w:rPr>
                <w:b/>
              </w:rPr>
            </w:pPr>
          </w:p>
          <w:p w14:paraId="5FE48B57" w14:textId="77777777" w:rsidR="001E0C72" w:rsidRDefault="001E0C72">
            <w:pPr>
              <w:rPr>
                <w:b/>
              </w:rPr>
            </w:pPr>
            <w:r w:rsidRPr="00117325">
              <w:rPr>
                <w:b/>
              </w:rPr>
              <w:t>V. In the Trenches</w:t>
            </w:r>
          </w:p>
          <w:p w14:paraId="5DC26B49" w14:textId="77777777" w:rsidR="001E0C72" w:rsidRDefault="001E0C72">
            <w:pPr>
              <w:rPr>
                <w:b/>
              </w:rPr>
            </w:pPr>
          </w:p>
          <w:p w14:paraId="7220AC2B" w14:textId="17221264" w:rsidR="001E0C72" w:rsidRPr="00117325" w:rsidRDefault="001E0C72">
            <w:pPr>
              <w:rPr>
                <w:b/>
              </w:rPr>
            </w:pPr>
          </w:p>
        </w:tc>
        <w:tc>
          <w:tcPr>
            <w:tcW w:w="1586" w:type="dxa"/>
          </w:tcPr>
          <w:p w14:paraId="536775DD" w14:textId="77777777" w:rsidR="001E0C72" w:rsidRDefault="001E0C72">
            <w:pPr>
              <w:rPr>
                <w:b/>
              </w:rPr>
            </w:pPr>
          </w:p>
        </w:tc>
      </w:tr>
      <w:tr w:rsidR="001E0C72" w14:paraId="48A80979" w14:textId="43217A8C" w:rsidTr="001E0C72">
        <w:tc>
          <w:tcPr>
            <w:tcW w:w="1762" w:type="dxa"/>
          </w:tcPr>
          <w:p w14:paraId="069AB1D4" w14:textId="77777777" w:rsidR="001E0C72" w:rsidRPr="00AA0456" w:rsidRDefault="001E0C72" w:rsidP="00FB37DA">
            <w:pPr>
              <w:rPr>
                <w:highlight w:val="yellow"/>
              </w:rPr>
            </w:pPr>
          </w:p>
          <w:p w14:paraId="084BAD33" w14:textId="620C466A" w:rsidR="001E0C72" w:rsidRPr="00AA0456" w:rsidRDefault="00D42A16" w:rsidP="00FB37DA">
            <w:pPr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</w:tc>
        <w:tc>
          <w:tcPr>
            <w:tcW w:w="8516" w:type="dxa"/>
          </w:tcPr>
          <w:p w14:paraId="131511DC" w14:textId="7F55D7E5" w:rsidR="001E0C72" w:rsidRPr="00AA0456" w:rsidRDefault="00D42A16" w:rsidP="00803B1F">
            <w:pPr>
              <w:rPr>
                <w:highlight w:val="yellow"/>
              </w:rPr>
            </w:pPr>
            <w:r>
              <w:rPr>
                <w:highlight w:val="yellow"/>
              </w:rPr>
              <w:t>TBD</w:t>
            </w:r>
          </w:p>
          <w:p w14:paraId="5A403280" w14:textId="1D5A54AA" w:rsidR="001E0C72" w:rsidRPr="00AA0456" w:rsidRDefault="001E0C72" w:rsidP="00A13577">
            <w:pPr>
              <w:rPr>
                <w:highlight w:val="yellow"/>
              </w:rPr>
            </w:pPr>
          </w:p>
        </w:tc>
        <w:tc>
          <w:tcPr>
            <w:tcW w:w="1586" w:type="dxa"/>
          </w:tcPr>
          <w:p w14:paraId="09052FC2" w14:textId="77777777" w:rsidR="001E0C72" w:rsidRDefault="001E0C72"/>
          <w:p w14:paraId="6BDE4272" w14:textId="7D125759" w:rsidR="001E0C72" w:rsidRDefault="001E0C72">
            <w:r>
              <w:t>Apr 3</w:t>
            </w:r>
          </w:p>
        </w:tc>
        <w:tc>
          <w:tcPr>
            <w:tcW w:w="1586" w:type="dxa"/>
          </w:tcPr>
          <w:p w14:paraId="76672FD6" w14:textId="1B486A73" w:rsidR="001E0C72" w:rsidRDefault="001E0C72"/>
        </w:tc>
      </w:tr>
      <w:tr w:rsidR="001E0C72" w14:paraId="399A93D4" w14:textId="6FA322EB" w:rsidTr="001E0C72">
        <w:tc>
          <w:tcPr>
            <w:tcW w:w="1762" w:type="dxa"/>
          </w:tcPr>
          <w:p w14:paraId="2705D176" w14:textId="77777777" w:rsidR="001E0C72" w:rsidRDefault="001E0C72" w:rsidP="002E15D6"/>
          <w:p w14:paraId="0658F4A4" w14:textId="66A3DD24" w:rsidR="001E0C72" w:rsidRDefault="001E0C72" w:rsidP="002E15D6">
            <w:r>
              <w:t>B. Going to Washington</w:t>
            </w:r>
          </w:p>
        </w:tc>
        <w:tc>
          <w:tcPr>
            <w:tcW w:w="8516" w:type="dxa"/>
          </w:tcPr>
          <w:p w14:paraId="2541673F" w14:textId="77777777" w:rsidR="001E0C72" w:rsidRDefault="001E0C72" w:rsidP="004C6350"/>
          <w:p w14:paraId="716F2D92" w14:textId="430C87C5" w:rsidR="001E0C72" w:rsidRDefault="001E0C72" w:rsidP="004C6350">
            <w:r>
              <w:t xml:space="preserve">* </w:t>
            </w:r>
            <w:hyperlink r:id="rId43" w:history="1">
              <w:r w:rsidRPr="00A2460E">
                <w:rPr>
                  <w:rStyle w:val="Hyperlink"/>
                </w:rPr>
                <w:t>SOPA, Final House Version</w:t>
              </w:r>
            </w:hyperlink>
            <w:r>
              <w:t xml:space="preserve"> — </w:t>
            </w:r>
            <w:r w:rsidRPr="001F3024">
              <w:rPr>
                <w:i/>
              </w:rPr>
              <w:t>only read</w:t>
            </w:r>
            <w:r>
              <w:t xml:space="preserve"> through Section 103</w:t>
            </w:r>
          </w:p>
          <w:p w14:paraId="410D801D" w14:textId="5D7E3FC2" w:rsidR="001E0C72" w:rsidRDefault="001E0C72" w:rsidP="004C6350">
            <w:r>
              <w:t xml:space="preserve">* Eric Goldman, </w:t>
            </w:r>
            <w:hyperlink r:id="rId44" w:history="1">
              <w:r w:rsidRPr="002F31E9">
                <w:rPr>
                  <w:rStyle w:val="Hyperlink"/>
                </w:rPr>
                <w:t>Celebrating (?) the Six Month Anniversary of SOPA’s Demise,</w:t>
              </w:r>
            </w:hyperlink>
            <w:r>
              <w:t xml:space="preserve"> Forbes July 2012</w:t>
            </w:r>
          </w:p>
          <w:p w14:paraId="4F1D93A7" w14:textId="397E6D5C" w:rsidR="001E0C72" w:rsidRDefault="001E0C72" w:rsidP="004C6350">
            <w:r>
              <w:t xml:space="preserve">* CDT’s </w:t>
            </w:r>
            <w:hyperlink r:id="rId45" w:history="1">
              <w:r w:rsidRPr="00406692">
                <w:rPr>
                  <w:rStyle w:val="Hyperlink"/>
                </w:rPr>
                <w:t>SOPA Summary</w:t>
              </w:r>
            </w:hyperlink>
          </w:p>
          <w:p w14:paraId="1DADDB52" w14:textId="4933ED68" w:rsidR="001E0C72" w:rsidRDefault="001E0C72" w:rsidP="004C6350"/>
        </w:tc>
        <w:tc>
          <w:tcPr>
            <w:tcW w:w="1586" w:type="dxa"/>
          </w:tcPr>
          <w:p w14:paraId="5922AB62" w14:textId="77777777" w:rsidR="001E0C72" w:rsidRDefault="001E0C72"/>
          <w:p w14:paraId="31C3A4EB" w14:textId="43ADEE8A" w:rsidR="001E0C72" w:rsidRDefault="001E0C72">
            <w:r>
              <w:t>Apr 10</w:t>
            </w:r>
          </w:p>
        </w:tc>
        <w:tc>
          <w:tcPr>
            <w:tcW w:w="1586" w:type="dxa"/>
          </w:tcPr>
          <w:p w14:paraId="607F8D13" w14:textId="77777777" w:rsidR="001E0C72" w:rsidRDefault="001E0C72"/>
        </w:tc>
      </w:tr>
      <w:tr w:rsidR="001E0C72" w14:paraId="76FD810A" w14:textId="18540DE9" w:rsidTr="001E0C72">
        <w:tc>
          <w:tcPr>
            <w:tcW w:w="1762" w:type="dxa"/>
          </w:tcPr>
          <w:p w14:paraId="2215C417" w14:textId="77777777" w:rsidR="001E0C72" w:rsidRDefault="001E0C72"/>
          <w:p w14:paraId="37BB44F5" w14:textId="51341DD8" w:rsidR="001E0C72" w:rsidRDefault="001E0C72">
            <w:r>
              <w:t>C. Other Balls Not to Drop</w:t>
            </w:r>
          </w:p>
        </w:tc>
        <w:tc>
          <w:tcPr>
            <w:tcW w:w="8516" w:type="dxa"/>
          </w:tcPr>
          <w:p w14:paraId="38107901" w14:textId="77777777" w:rsidR="001E0C72" w:rsidRDefault="001E0C72"/>
          <w:p w14:paraId="15B7945D" w14:textId="4A66950F" w:rsidR="001E0C72" w:rsidRDefault="001E0C72">
            <w:r>
              <w:t xml:space="preserve">* </w:t>
            </w:r>
            <w:r w:rsidR="004666F4">
              <w:rPr>
                <w:i/>
              </w:rPr>
              <w:t>S</w:t>
            </w:r>
            <w:r w:rsidRPr="00DF4605">
              <w:rPr>
                <w:i/>
              </w:rPr>
              <w:t>kim</w:t>
            </w:r>
            <w:r>
              <w:t xml:space="preserve"> Twitter’s </w:t>
            </w:r>
            <w:hyperlink r:id="rId46" w:history="1">
              <w:r w:rsidRPr="00DF4605">
                <w:rPr>
                  <w:rStyle w:val="Hyperlink"/>
                </w:rPr>
                <w:t>Terms of Service</w:t>
              </w:r>
            </w:hyperlink>
            <w:r>
              <w:t xml:space="preserve"> </w:t>
            </w:r>
          </w:p>
          <w:p w14:paraId="4825B7F6" w14:textId="1F0B8632" w:rsidR="001E0C72" w:rsidRDefault="001E0C72">
            <w:r>
              <w:t xml:space="preserve">* CAN-SPAM </w:t>
            </w:r>
            <w:hyperlink r:id="rId47" w:history="1">
              <w:r w:rsidRPr="00264DFE">
                <w:rPr>
                  <w:rStyle w:val="Hyperlink"/>
                </w:rPr>
                <w:t>Compliance Guide</w:t>
              </w:r>
            </w:hyperlink>
          </w:p>
          <w:p w14:paraId="6843CF0B" w14:textId="03D861A8" w:rsidR="001E0C72" w:rsidRDefault="001E0C72">
            <w:r>
              <w:t xml:space="preserve">* California Labor Code </w:t>
            </w:r>
            <w:hyperlink r:id="rId48" w:history="1">
              <w:r w:rsidRPr="00485E0E">
                <w:rPr>
                  <w:rStyle w:val="Hyperlink"/>
                </w:rPr>
                <w:t>Section 2870</w:t>
              </w:r>
            </w:hyperlink>
          </w:p>
          <w:p w14:paraId="0C6AC57F" w14:textId="2DDB3E0D" w:rsidR="001E0C72" w:rsidRPr="00BC227C" w:rsidRDefault="001E0C72">
            <w:r w:rsidRPr="00BC227C">
              <w:t xml:space="preserve">* </w:t>
            </w:r>
            <w:hyperlink r:id="rId49" w:history="1">
              <w:r w:rsidRPr="00BC227C">
                <w:rPr>
                  <w:rStyle w:val="Hyperlink"/>
                </w:rPr>
                <w:t>Article</w:t>
              </w:r>
            </w:hyperlink>
            <w:r w:rsidRPr="00BC227C">
              <w:t xml:space="preserve"> on </w:t>
            </w:r>
            <w:r w:rsidR="004666F4" w:rsidRPr="00BC227C">
              <w:t>proposed DOJ rulemaking for ADA compliance</w:t>
            </w:r>
          </w:p>
          <w:p w14:paraId="746D94C8" w14:textId="77CDBC45" w:rsidR="001E0C72" w:rsidRDefault="001E0C72">
            <w:r w:rsidRPr="00BC227C">
              <w:t xml:space="preserve">* </w:t>
            </w:r>
            <w:r w:rsidR="004666F4" w:rsidRPr="00BC227C">
              <w:rPr>
                <w:i/>
              </w:rPr>
              <w:t>S</w:t>
            </w:r>
            <w:r w:rsidRPr="00BC227C">
              <w:rPr>
                <w:i/>
              </w:rPr>
              <w:t>kim</w:t>
            </w:r>
            <w:r w:rsidR="004666F4" w:rsidRPr="00BC227C">
              <w:rPr>
                <w:i/>
              </w:rPr>
              <w:t xml:space="preserve"> even more lightly</w:t>
            </w:r>
            <w:r w:rsidRPr="00BC227C">
              <w:t xml:space="preserve"> the Bureau of Industry and Security </w:t>
            </w:r>
            <w:hyperlink r:id="rId50" w:history="1">
              <w:r w:rsidR="004666F4" w:rsidRPr="00BC227C">
                <w:rPr>
                  <w:rStyle w:val="Hyperlink"/>
                </w:rPr>
                <w:t>FAQ</w:t>
              </w:r>
              <w:r w:rsidRPr="00BC227C">
                <w:rPr>
                  <w:rStyle w:val="Hyperlink"/>
                </w:rPr>
                <w:t xml:space="preserve"> on Encryption and Export Controls</w:t>
              </w:r>
            </w:hyperlink>
            <w:r>
              <w:t xml:space="preserve"> </w:t>
            </w:r>
          </w:p>
          <w:p w14:paraId="75E6676B" w14:textId="7C3A7BE4" w:rsidR="001E0C72" w:rsidRDefault="001E0C72">
            <w:r>
              <w:t xml:space="preserve">* The Oatmeal’s </w:t>
            </w:r>
            <w:hyperlink r:id="rId51" w:history="1">
              <w:r w:rsidRPr="004C7EC7">
                <w:rPr>
                  <w:rStyle w:val="Hyperlink"/>
                </w:rPr>
                <w:t>Response</w:t>
              </w:r>
            </w:hyperlink>
            <w:r>
              <w:t xml:space="preserve"> to </w:t>
            </w:r>
            <w:proofErr w:type="spellStart"/>
            <w:r>
              <w:t>FunnyJunk</w:t>
            </w:r>
            <w:proofErr w:type="spellEnd"/>
            <w:r>
              <w:t xml:space="preserve"> Litigation Threat, and Wikipedia </w:t>
            </w:r>
            <w:hyperlink r:id="rId52" w:history="1">
              <w:r w:rsidRPr="004C7EC7">
                <w:rPr>
                  <w:rStyle w:val="Hyperlink"/>
                </w:rPr>
                <w:t>Summary</w:t>
              </w:r>
            </w:hyperlink>
            <w:r>
              <w:t xml:space="preserve"> of the Sites’ Conflict  </w:t>
            </w:r>
          </w:p>
          <w:p w14:paraId="46F3A9A0" w14:textId="7E25275E" w:rsidR="001E0C72" w:rsidRDefault="001E0C72">
            <w:r>
              <w:t xml:space="preserve">* </w:t>
            </w:r>
            <w:proofErr w:type="spellStart"/>
            <w:r>
              <w:t>Popehat</w:t>
            </w:r>
            <w:proofErr w:type="spellEnd"/>
            <w:r>
              <w:t xml:space="preserve"> on </w:t>
            </w:r>
            <w:hyperlink r:id="rId53" w:history="1">
              <w:r w:rsidRPr="004C7EC7">
                <w:rPr>
                  <w:rStyle w:val="Hyperlink"/>
                </w:rPr>
                <w:t>How to Write a Takedown Request</w:t>
              </w:r>
            </w:hyperlink>
          </w:p>
          <w:p w14:paraId="26513C3A" w14:textId="03350B3D" w:rsidR="001E0C72" w:rsidRDefault="001E0C72" w:rsidP="004C6350"/>
        </w:tc>
        <w:tc>
          <w:tcPr>
            <w:tcW w:w="1586" w:type="dxa"/>
          </w:tcPr>
          <w:p w14:paraId="6AFEDC40" w14:textId="77777777" w:rsidR="001E0C72" w:rsidRDefault="001E0C72" w:rsidP="004C6350"/>
          <w:p w14:paraId="15805304" w14:textId="02A4EBB2" w:rsidR="001E0C72" w:rsidRDefault="001E0C72" w:rsidP="004C6350">
            <w:r>
              <w:t>Apr 17</w:t>
            </w:r>
          </w:p>
        </w:tc>
        <w:tc>
          <w:tcPr>
            <w:tcW w:w="1586" w:type="dxa"/>
          </w:tcPr>
          <w:p w14:paraId="6BA66EB8" w14:textId="1E153051" w:rsidR="001E0C72" w:rsidRDefault="00BC227C" w:rsidP="004C6350">
            <w:r>
              <w:t xml:space="preserve">Note as of Jan 1 the Oatmeal page is broken – I contacted the site, with luck it’ll be fixed by April. </w:t>
            </w:r>
          </w:p>
        </w:tc>
      </w:tr>
    </w:tbl>
    <w:p w14:paraId="289082FB" w14:textId="231A6E75" w:rsidR="00D16CCC" w:rsidRDefault="00D16CCC"/>
    <w:sectPr w:rsidR="00D16CCC" w:rsidSect="007D3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4A"/>
    <w:multiLevelType w:val="hybridMultilevel"/>
    <w:tmpl w:val="4F40B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242A"/>
    <w:multiLevelType w:val="hybridMultilevel"/>
    <w:tmpl w:val="4C5C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4B39"/>
    <w:multiLevelType w:val="hybridMultilevel"/>
    <w:tmpl w:val="9BE420C4"/>
    <w:lvl w:ilvl="0" w:tplc="E45A0F2E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C5591E"/>
    <w:multiLevelType w:val="hybridMultilevel"/>
    <w:tmpl w:val="A21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49E"/>
    <w:multiLevelType w:val="hybridMultilevel"/>
    <w:tmpl w:val="285E1EDA"/>
    <w:lvl w:ilvl="0" w:tplc="EC923EDE">
      <w:start w:val="27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3079D"/>
    <w:multiLevelType w:val="hybridMultilevel"/>
    <w:tmpl w:val="17B83C74"/>
    <w:lvl w:ilvl="0" w:tplc="A2CCD774">
      <w:start w:val="27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D1D16"/>
    <w:multiLevelType w:val="hybridMultilevel"/>
    <w:tmpl w:val="980EC798"/>
    <w:lvl w:ilvl="0" w:tplc="0F16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B563D"/>
    <w:multiLevelType w:val="hybridMultilevel"/>
    <w:tmpl w:val="4E48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F00FB"/>
    <w:multiLevelType w:val="hybridMultilevel"/>
    <w:tmpl w:val="4E48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2"/>
    <w:rsid w:val="000027A4"/>
    <w:rsid w:val="00012055"/>
    <w:rsid w:val="00014595"/>
    <w:rsid w:val="00025885"/>
    <w:rsid w:val="00043C7D"/>
    <w:rsid w:val="000550AE"/>
    <w:rsid w:val="000615F5"/>
    <w:rsid w:val="00075D81"/>
    <w:rsid w:val="00090C86"/>
    <w:rsid w:val="00092E2A"/>
    <w:rsid w:val="000B4636"/>
    <w:rsid w:val="000B63DF"/>
    <w:rsid w:val="000F2A97"/>
    <w:rsid w:val="00117325"/>
    <w:rsid w:val="00126BA7"/>
    <w:rsid w:val="00160FF6"/>
    <w:rsid w:val="00171B3E"/>
    <w:rsid w:val="001A4683"/>
    <w:rsid w:val="001A747E"/>
    <w:rsid w:val="001B157F"/>
    <w:rsid w:val="001B2A54"/>
    <w:rsid w:val="001E0C72"/>
    <w:rsid w:val="001E17E1"/>
    <w:rsid w:val="001F1707"/>
    <w:rsid w:val="001F3024"/>
    <w:rsid w:val="00242210"/>
    <w:rsid w:val="00264DFE"/>
    <w:rsid w:val="00281FE8"/>
    <w:rsid w:val="0029740D"/>
    <w:rsid w:val="002E15D6"/>
    <w:rsid w:val="002F209B"/>
    <w:rsid w:val="002F31E9"/>
    <w:rsid w:val="003078CD"/>
    <w:rsid w:val="003424AD"/>
    <w:rsid w:val="003461FD"/>
    <w:rsid w:val="00350B46"/>
    <w:rsid w:val="003737B1"/>
    <w:rsid w:val="003C102D"/>
    <w:rsid w:val="003E2372"/>
    <w:rsid w:val="003E3B85"/>
    <w:rsid w:val="004027FD"/>
    <w:rsid w:val="0040403D"/>
    <w:rsid w:val="00406692"/>
    <w:rsid w:val="00407F76"/>
    <w:rsid w:val="004666F4"/>
    <w:rsid w:val="00470214"/>
    <w:rsid w:val="00475304"/>
    <w:rsid w:val="00477089"/>
    <w:rsid w:val="00483C0E"/>
    <w:rsid w:val="00485E0E"/>
    <w:rsid w:val="004C3E6A"/>
    <w:rsid w:val="004C6350"/>
    <w:rsid w:val="004C7EC7"/>
    <w:rsid w:val="004E358B"/>
    <w:rsid w:val="004E6408"/>
    <w:rsid w:val="004F74A2"/>
    <w:rsid w:val="00512E8A"/>
    <w:rsid w:val="005223F2"/>
    <w:rsid w:val="00527ACA"/>
    <w:rsid w:val="005558E5"/>
    <w:rsid w:val="00597DE4"/>
    <w:rsid w:val="005A169B"/>
    <w:rsid w:val="005E4B52"/>
    <w:rsid w:val="005F662B"/>
    <w:rsid w:val="0060544D"/>
    <w:rsid w:val="00623F67"/>
    <w:rsid w:val="006615A0"/>
    <w:rsid w:val="00665038"/>
    <w:rsid w:val="00676B65"/>
    <w:rsid w:val="00685D49"/>
    <w:rsid w:val="006B27E1"/>
    <w:rsid w:val="00737AB6"/>
    <w:rsid w:val="007913DC"/>
    <w:rsid w:val="0079228F"/>
    <w:rsid w:val="007C0A8F"/>
    <w:rsid w:val="007D318E"/>
    <w:rsid w:val="007E29EE"/>
    <w:rsid w:val="007F26F7"/>
    <w:rsid w:val="00803B1F"/>
    <w:rsid w:val="00832B78"/>
    <w:rsid w:val="00843AF9"/>
    <w:rsid w:val="0086491D"/>
    <w:rsid w:val="008717D7"/>
    <w:rsid w:val="008765DF"/>
    <w:rsid w:val="008A25FD"/>
    <w:rsid w:val="008B2117"/>
    <w:rsid w:val="008D0E5C"/>
    <w:rsid w:val="008D58EB"/>
    <w:rsid w:val="009011B6"/>
    <w:rsid w:val="00901635"/>
    <w:rsid w:val="00950D21"/>
    <w:rsid w:val="00957D01"/>
    <w:rsid w:val="00984E86"/>
    <w:rsid w:val="00994B53"/>
    <w:rsid w:val="009A618C"/>
    <w:rsid w:val="009B5805"/>
    <w:rsid w:val="009D2DCD"/>
    <w:rsid w:val="009E21FA"/>
    <w:rsid w:val="009F6891"/>
    <w:rsid w:val="00A13577"/>
    <w:rsid w:val="00A14AC6"/>
    <w:rsid w:val="00A16034"/>
    <w:rsid w:val="00A2460E"/>
    <w:rsid w:val="00A263FB"/>
    <w:rsid w:val="00A41DEE"/>
    <w:rsid w:val="00A42F9F"/>
    <w:rsid w:val="00A70EB5"/>
    <w:rsid w:val="00A722AB"/>
    <w:rsid w:val="00A7776D"/>
    <w:rsid w:val="00A9559B"/>
    <w:rsid w:val="00A95C1B"/>
    <w:rsid w:val="00AA0456"/>
    <w:rsid w:val="00AA62B2"/>
    <w:rsid w:val="00AB75E5"/>
    <w:rsid w:val="00AF0A07"/>
    <w:rsid w:val="00AF4D90"/>
    <w:rsid w:val="00B03156"/>
    <w:rsid w:val="00B148C2"/>
    <w:rsid w:val="00B20CBD"/>
    <w:rsid w:val="00B62736"/>
    <w:rsid w:val="00B866EA"/>
    <w:rsid w:val="00B97EB4"/>
    <w:rsid w:val="00BA31DC"/>
    <w:rsid w:val="00BC227C"/>
    <w:rsid w:val="00BF5036"/>
    <w:rsid w:val="00C1131E"/>
    <w:rsid w:val="00C20F55"/>
    <w:rsid w:val="00C36394"/>
    <w:rsid w:val="00C74614"/>
    <w:rsid w:val="00CD568A"/>
    <w:rsid w:val="00CF343B"/>
    <w:rsid w:val="00D15D68"/>
    <w:rsid w:val="00D16CCC"/>
    <w:rsid w:val="00D42A16"/>
    <w:rsid w:val="00D43E2D"/>
    <w:rsid w:val="00D44B21"/>
    <w:rsid w:val="00D616B3"/>
    <w:rsid w:val="00D9671F"/>
    <w:rsid w:val="00DD013F"/>
    <w:rsid w:val="00DD4E6C"/>
    <w:rsid w:val="00DE0073"/>
    <w:rsid w:val="00DF4605"/>
    <w:rsid w:val="00E1064E"/>
    <w:rsid w:val="00E14501"/>
    <w:rsid w:val="00E20A62"/>
    <w:rsid w:val="00E609A0"/>
    <w:rsid w:val="00E80ABD"/>
    <w:rsid w:val="00EA376A"/>
    <w:rsid w:val="00ED0648"/>
    <w:rsid w:val="00ED7D5A"/>
    <w:rsid w:val="00EE659B"/>
    <w:rsid w:val="00EF465E"/>
    <w:rsid w:val="00EF49D0"/>
    <w:rsid w:val="00F27789"/>
    <w:rsid w:val="00F775A6"/>
    <w:rsid w:val="00F95F34"/>
    <w:rsid w:val="00FA7E2B"/>
    <w:rsid w:val="00FB37DA"/>
    <w:rsid w:val="00FB4F81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B9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3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501"/>
  </w:style>
  <w:style w:type="character" w:styleId="Hyperlink">
    <w:name w:val="Hyperlink"/>
    <w:basedOn w:val="DefaultParagraphFont"/>
    <w:uiPriority w:val="99"/>
    <w:unhideWhenUsed/>
    <w:rsid w:val="00D4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62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37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F49D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3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5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501"/>
  </w:style>
  <w:style w:type="character" w:styleId="Hyperlink">
    <w:name w:val="Hyperlink"/>
    <w:basedOn w:val="DefaultParagraphFont"/>
    <w:uiPriority w:val="99"/>
    <w:unhideWhenUsed/>
    <w:rsid w:val="00D44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A62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9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237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F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orbes.com/sites/ericgoldman/2013/11/25/should-thedirty-website-be-liable-for-encouraging-users-to-gossip/" TargetMode="External"/><Relationship Id="rId14" Type="http://schemas.openxmlformats.org/officeDocument/2006/relationships/hyperlink" Target="http://www.law.cornell.edu/uscode/text/17/512" TargetMode="External"/><Relationship Id="rId15" Type="http://schemas.openxmlformats.org/officeDocument/2006/relationships/hyperlink" Target="http://scholar.google.com/scholar_case?case=10822678381455684180&amp;q=667+F.+3d+1022&amp;hl=en&amp;as_sdt=2,5" TargetMode="External"/><Relationship Id="rId16" Type="http://schemas.openxmlformats.org/officeDocument/2006/relationships/hyperlink" Target="http://scholar.google.com/scholar_case?q=ccbill&amp;hl=en&amp;as_sdt=2,5&amp;case=4735249074019268133&amp;scilh=0" TargetMode="External"/><Relationship Id="rId17" Type="http://schemas.openxmlformats.org/officeDocument/2006/relationships/hyperlink" Target="http://scholar.google.com/scholar_case?q=Capitol+Records+v.+MP3Tunes&amp;hl=en&amp;as_sdt=2006&amp;as_vis=1&amp;case=6863858502050850058&amp;scilh=0" TargetMode="External"/><Relationship Id="rId18" Type="http://schemas.openxmlformats.org/officeDocument/2006/relationships/hyperlink" Target="http://scholar.google.com/scholar_case?q=508+F.3d+1146&amp;hl=en&amp;as_sdt=2,5&amp;case=9280547131690965273&amp;scilh=0" TargetMode="External"/><Relationship Id="rId19" Type="http://schemas.openxmlformats.org/officeDocument/2006/relationships/hyperlink" Target="http://scholar.google.com/scholar_case?q=cablevision+vs.+cartoon&amp;hl=en&amp;as_sdt=2,22&amp;case=13763893657469687275&amp;scilh=0" TargetMode="External"/><Relationship Id="rId50" Type="http://schemas.openxmlformats.org/officeDocument/2006/relationships/hyperlink" Target="http://www.bis.doc.gov/index.php/policy-guidance/encryption/encryption-faqs" TargetMode="External"/><Relationship Id="rId51" Type="http://schemas.openxmlformats.org/officeDocument/2006/relationships/hyperlink" Target="http://theoatmeal.com/blog/funnyjunk_letter" TargetMode="External"/><Relationship Id="rId52" Type="http://schemas.openxmlformats.org/officeDocument/2006/relationships/hyperlink" Target="http://en.wikipedia.org/wiki/The_Oatmeal_and_FunnyJunk_legal_dispute" TargetMode="External"/><Relationship Id="rId53" Type="http://schemas.openxmlformats.org/officeDocument/2006/relationships/hyperlink" Target="http://www.popehat.com/2012/07/08/how-to-write-a-takedown-request-without-running-afoul-of-the-streisand-effect/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facebook.com/about/privacy/" TargetMode="External"/><Relationship Id="rId41" Type="http://schemas.openxmlformats.org/officeDocument/2006/relationships/hyperlink" Target="http://www.ftc.gov/os/caselist/0923184/index.shtm" TargetMode="External"/><Relationship Id="rId42" Type="http://schemas.openxmlformats.org/officeDocument/2006/relationships/hyperlink" Target="https://www.cdt.org/issue/wiretap-ecpa" TargetMode="External"/><Relationship Id="rId43" Type="http://schemas.openxmlformats.org/officeDocument/2006/relationships/hyperlink" Target="http://thomas.loc.gov/home/gpoxmlc112/h3261_ih.xml" TargetMode="External"/><Relationship Id="rId44" Type="http://schemas.openxmlformats.org/officeDocument/2006/relationships/hyperlink" Target="http://www.forbes.com/sites/ericgoldman/2012/07/18/celebrating-the-six-month-anniversary-of-sopas-demise" TargetMode="External"/><Relationship Id="rId45" Type="http://schemas.openxmlformats.org/officeDocument/2006/relationships/hyperlink" Target="https://www.cdt.org/files/pdfs/SOPA%202-pager%20final.pdf" TargetMode="External"/><Relationship Id="rId46" Type="http://schemas.openxmlformats.org/officeDocument/2006/relationships/hyperlink" Target="https://twitter.com/tos/" TargetMode="External"/><Relationship Id="rId47" Type="http://schemas.openxmlformats.org/officeDocument/2006/relationships/hyperlink" Target="http://business.ftc.gov/documents/bus61-can-spam-act-compliance-guide-business/" TargetMode="External"/><Relationship Id="rId48" Type="http://schemas.openxmlformats.org/officeDocument/2006/relationships/hyperlink" Target="http://www.leginfo.ca.gov/cgi-bin/displaycode?section=lab&amp;group=02001-03000&amp;file=2870-2872" TargetMode="External"/><Relationship Id="rId49" Type="http://schemas.openxmlformats.org/officeDocument/2006/relationships/hyperlink" Target="http://www.practicalecommerce.com/articles/58946-U-S-Proposes-ADA-Compliance-for-Ecommerce-Website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w.berkeley.edu/php-programs/courses/coursePage.php?cID=9664&amp;termCode=D&amp;termYear=2012" TargetMode="External"/><Relationship Id="rId7" Type="http://schemas.openxmlformats.org/officeDocument/2006/relationships/hyperlink" Target="https://docs.google.com/document/d/1-Pd7Z00Zz7oZxz2b0-p2SXbWjr9MLhvkxx821znRdaU/edit" TargetMode="External"/><Relationship Id="rId8" Type="http://schemas.openxmlformats.org/officeDocument/2006/relationships/hyperlink" Target="http://www.networkworld.com/news/2012/080712-baidu-employees-fired-and-arrested-261447.html" TargetMode="External"/><Relationship Id="rId9" Type="http://schemas.openxmlformats.org/officeDocument/2006/relationships/hyperlink" Target="http://www.reputation.com/company" TargetMode="External"/><Relationship Id="rId30" Type="http://schemas.openxmlformats.org/officeDocument/2006/relationships/hyperlink" Target="http://www.legalaffairs.org/issues/January-February-2006/feature_goldsmith_janfeb06.msp" TargetMode="External"/><Relationship Id="rId31" Type="http://schemas.openxmlformats.org/officeDocument/2006/relationships/hyperlink" Target="http://www.austlii.edu.au/au/cases/cth/HCA/2002/56.html" TargetMode="External"/><Relationship Id="rId32" Type="http://schemas.openxmlformats.org/officeDocument/2006/relationships/hyperlink" Target="http://en.wikipedia.org/wiki/SPEECH_Act" TargetMode="External"/><Relationship Id="rId33" Type="http://schemas.openxmlformats.org/officeDocument/2006/relationships/hyperlink" Target="http://www.gpo.gov/fdsys/pkg/PLAW-111publ223/html/PLAW-111publ223.htm" TargetMode="External"/><Relationship Id="rId34" Type="http://schemas.openxmlformats.org/officeDocument/2006/relationships/hyperlink" Target="http://www.law.cornell.edu/uscode/text/18/1030" TargetMode="External"/><Relationship Id="rId35" Type="http://schemas.openxmlformats.org/officeDocument/2006/relationships/hyperlink" Target="http://scholar.google.com/scholar_case?q=us+v.+nosal&amp;hl=en&amp;as_sdt=2,48&amp;as_ylo=2012&amp;as_vis=1&amp;case=25418282339171009&amp;scilh=0" TargetMode="External"/><Relationship Id="rId36" Type="http://schemas.openxmlformats.org/officeDocument/2006/relationships/hyperlink" Target="http://www.scribd.com/doc/30424890/Snap-on-Business-Tools-v-O-Neil-Assocs-N-D-Ohio" TargetMode="External"/><Relationship Id="rId37" Type="http://schemas.openxmlformats.org/officeDocument/2006/relationships/hyperlink" Target="http://ec.europa.eu/justice/data-protection/data-collection/index_en.htm" TargetMode="External"/><Relationship Id="rId38" Type="http://schemas.openxmlformats.org/officeDocument/2006/relationships/hyperlink" Target="http://ec.europa.eu/justice/data-protection/data-collection/legal/index_en.htm" TargetMode="External"/><Relationship Id="rId39" Type="http://schemas.openxmlformats.org/officeDocument/2006/relationships/hyperlink" Target="http://ec.europa.eu/justice/data-protection/data-collection/obligations/index_en.htm" TargetMode="External"/><Relationship Id="rId20" Type="http://schemas.openxmlformats.org/officeDocument/2006/relationships/hyperlink" Target="http://eur-lex.europa.eu/LexUriServ/LexUriServ.do?uri=CELEX:32001L0029:EN:HTML" TargetMode="External"/><Relationship Id="rId21" Type="http://schemas.openxmlformats.org/officeDocument/2006/relationships/hyperlink" Target="http://eur-lex.europa.eu/LexUriServ/LexUriServ.do?uri=CELEX:32000L0031:EN:HTML" TargetMode="External"/><Relationship Id="rId22" Type="http://schemas.openxmlformats.org/officeDocument/2006/relationships/hyperlink" Target="http://curia.europa.eu/juris/document/document.jsf?text=&amp;docid=119512&amp;pageIndex=0&amp;doclang=EN&amp;mode=doc&amp;dir=&amp;occ=first&amp;part=1&amp;cid=996174" TargetMode="External"/><Relationship Id="rId23" Type="http://schemas.openxmlformats.org/officeDocument/2006/relationships/hyperlink" Target="http://cyberlaw.stanford.edu/blog/2013/10/european-court-human-rights-holds-delfiee-liable-anonymous-defamation" TargetMode="External"/><Relationship Id="rId24" Type="http://schemas.openxmlformats.org/officeDocument/2006/relationships/hyperlink" Target="http://askkorealaw.com/2011/02/27/tv/" TargetMode="External"/><Relationship Id="rId25" Type="http://schemas.openxmlformats.org/officeDocument/2006/relationships/hyperlink" Target="http://doctoredreviews.files.wordpress.com/2011/02/piedmont.pdf" TargetMode="External"/><Relationship Id="rId26" Type="http://schemas.openxmlformats.org/officeDocument/2006/relationships/hyperlink" Target="http://privacylaw.proskauer.com/2008/04/articles/communications-decency-act/immunity-under-the-cda-has-its-limits-according-to-two-recent-federal-court-decisions/" TargetMode="External"/><Relationship Id="rId27" Type="http://schemas.openxmlformats.org/officeDocument/2006/relationships/hyperlink" Target="http://www.wired.com/threatlevel/2011/06/hot-news-doctrine/" TargetMode="External"/><Relationship Id="rId28" Type="http://schemas.openxmlformats.org/officeDocument/2006/relationships/hyperlink" Target="http://www.scribd.com/doc/92046940/Hermes-v-Does-12-Civ-1623-S-D-N-Y-Apr-30-2012-Judgment" TargetMode="External"/><Relationship Id="rId29" Type="http://schemas.openxmlformats.org/officeDocument/2006/relationships/hyperlink" Target="http://www.stanfordlawreview.org/online/privacy-paradox/right-to-be-forgotten" TargetMode="External"/><Relationship Id="rId10" Type="http://schemas.openxmlformats.org/officeDocument/2006/relationships/hyperlink" Target="http://papers.ssrn.com/sol3/papers.cfm?abstract_id=979836" TargetMode="External"/><Relationship Id="rId11" Type="http://schemas.openxmlformats.org/officeDocument/2006/relationships/hyperlink" Target="http://www.law.cornell.edu/uscode/text/47/230" TargetMode="External"/><Relationship Id="rId12" Type="http://schemas.openxmlformats.org/officeDocument/2006/relationships/hyperlink" Target="http://scholar.google.com/scholar_case?q=521+f.3d+1157&amp;hl=en&amp;as_sdt=2006&amp;case=12982314326945878032&amp;scilh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9001</Characters>
  <Application>Microsoft Macintosh Word</Application>
  <DocSecurity>0</DocSecurity>
  <Lines>75</Lines>
  <Paragraphs>21</Paragraphs>
  <ScaleCrop>false</ScaleCrop>
  <Company>Google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Keller</dc:creator>
  <cp:keywords/>
  <dc:description/>
  <cp:lastModifiedBy>Daphne Keller</cp:lastModifiedBy>
  <cp:revision>2</cp:revision>
  <cp:lastPrinted>2014-01-06T19:03:00Z</cp:lastPrinted>
  <dcterms:created xsi:type="dcterms:W3CDTF">2014-01-06T19:05:00Z</dcterms:created>
  <dcterms:modified xsi:type="dcterms:W3CDTF">2014-01-06T19:05:00Z</dcterms:modified>
</cp:coreProperties>
</file>