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DC82F" w14:textId="77777777" w:rsidR="00294FEB" w:rsidRPr="007279B3" w:rsidRDefault="00294FEB" w:rsidP="00294FEB">
      <w:pPr>
        <w:jc w:val="center"/>
        <w:rPr>
          <w:rFonts w:asciiTheme="majorHAnsi" w:hAnsiTheme="majorHAnsi"/>
          <w:b/>
          <w:color w:val="000000" w:themeColor="text1"/>
          <w:sz w:val="28"/>
        </w:rPr>
      </w:pPr>
    </w:p>
    <w:p w14:paraId="1F3574A4" w14:textId="77777777" w:rsidR="00294FEB" w:rsidRPr="007279B3" w:rsidRDefault="00294FEB" w:rsidP="00294FEB">
      <w:pPr>
        <w:jc w:val="center"/>
        <w:rPr>
          <w:rFonts w:asciiTheme="majorHAnsi" w:hAnsiTheme="majorHAnsi"/>
          <w:b/>
          <w:color w:val="000000" w:themeColor="text1"/>
          <w:sz w:val="28"/>
        </w:rPr>
      </w:pPr>
      <w:r w:rsidRPr="007279B3">
        <w:rPr>
          <w:rFonts w:asciiTheme="majorHAnsi" w:hAnsiTheme="majorHAnsi"/>
          <w:b/>
          <w:color w:val="000000" w:themeColor="text1"/>
          <w:sz w:val="28"/>
        </w:rPr>
        <w:t>Domestic Violence Practicum Syllabus</w:t>
      </w:r>
    </w:p>
    <w:p w14:paraId="60C86894" w14:textId="77777777" w:rsidR="00294FEB" w:rsidRPr="007279B3" w:rsidRDefault="00294FEB" w:rsidP="00294FEB">
      <w:pPr>
        <w:jc w:val="center"/>
        <w:rPr>
          <w:rFonts w:asciiTheme="majorHAnsi" w:hAnsiTheme="majorHAnsi"/>
          <w:color w:val="000000" w:themeColor="text1"/>
          <w:sz w:val="28"/>
        </w:rPr>
      </w:pPr>
      <w:r w:rsidRPr="007279B3">
        <w:rPr>
          <w:rFonts w:asciiTheme="majorHAnsi" w:hAnsiTheme="majorHAnsi"/>
          <w:color w:val="000000" w:themeColor="text1"/>
          <w:sz w:val="28"/>
        </w:rPr>
        <w:t>Law 283Q</w:t>
      </w:r>
    </w:p>
    <w:p w14:paraId="0360EE08" w14:textId="1377C1E8" w:rsidR="00294FEB" w:rsidRPr="007279B3" w:rsidRDefault="00674791" w:rsidP="00294FEB">
      <w:pPr>
        <w:jc w:val="center"/>
        <w:rPr>
          <w:rFonts w:asciiTheme="majorHAnsi" w:hAnsiTheme="majorHAnsi"/>
          <w:color w:val="000000" w:themeColor="text1"/>
          <w:sz w:val="28"/>
        </w:rPr>
      </w:pPr>
      <w:r w:rsidRPr="007279B3">
        <w:rPr>
          <w:rFonts w:asciiTheme="majorHAnsi" w:hAnsiTheme="majorHAnsi"/>
          <w:color w:val="000000" w:themeColor="text1"/>
          <w:sz w:val="28"/>
        </w:rPr>
        <w:t>Spring 2014</w:t>
      </w:r>
      <w:r w:rsidR="00294FEB" w:rsidRPr="007279B3">
        <w:rPr>
          <w:rFonts w:asciiTheme="majorHAnsi" w:hAnsiTheme="majorHAnsi"/>
          <w:color w:val="000000" w:themeColor="text1"/>
          <w:sz w:val="28"/>
        </w:rPr>
        <w:t xml:space="preserve"> – Wed 6:25-8:05 pm</w:t>
      </w:r>
    </w:p>
    <w:p w14:paraId="38984A7A" w14:textId="77777777" w:rsidR="00294FEB" w:rsidRPr="007279B3" w:rsidRDefault="00294FEB" w:rsidP="00294FEB">
      <w:pPr>
        <w:jc w:val="center"/>
        <w:rPr>
          <w:rFonts w:asciiTheme="majorHAnsi" w:hAnsiTheme="majorHAnsi"/>
          <w:color w:val="000000" w:themeColor="text1"/>
          <w:sz w:val="28"/>
        </w:rPr>
      </w:pPr>
      <w:r w:rsidRPr="007279B3">
        <w:rPr>
          <w:rFonts w:asciiTheme="majorHAnsi" w:hAnsiTheme="majorHAnsi"/>
          <w:color w:val="000000" w:themeColor="text1"/>
          <w:sz w:val="28"/>
        </w:rPr>
        <w:t>Nancy K. D. Lemon</w:t>
      </w:r>
    </w:p>
    <w:p w14:paraId="456DEC2F" w14:textId="77777777" w:rsidR="00294FEB" w:rsidRPr="007279B3" w:rsidRDefault="00294FEB" w:rsidP="00294FEB">
      <w:pPr>
        <w:jc w:val="center"/>
        <w:rPr>
          <w:rFonts w:asciiTheme="majorHAnsi" w:hAnsiTheme="majorHAnsi"/>
          <w:color w:val="000000" w:themeColor="text1"/>
          <w:sz w:val="28"/>
        </w:rPr>
      </w:pPr>
      <w:r w:rsidRPr="007279B3">
        <w:rPr>
          <w:rFonts w:asciiTheme="majorHAnsi" w:hAnsiTheme="majorHAnsi"/>
          <w:color w:val="000000" w:themeColor="text1"/>
          <w:sz w:val="28"/>
        </w:rPr>
        <w:t>nlemon@berkeley.edu</w:t>
      </w:r>
    </w:p>
    <w:p w14:paraId="250A93F4" w14:textId="77777777" w:rsidR="00294FEB" w:rsidRPr="007279B3" w:rsidRDefault="00294FEB" w:rsidP="00294FEB">
      <w:pPr>
        <w:rPr>
          <w:rFonts w:asciiTheme="majorHAnsi" w:hAnsiTheme="majorHAnsi"/>
        </w:rPr>
      </w:pPr>
    </w:p>
    <w:p w14:paraId="21DAB90E" w14:textId="77777777" w:rsidR="00294FEB" w:rsidRPr="007279B3" w:rsidRDefault="00294FEB" w:rsidP="00294FEB">
      <w:pPr>
        <w:pStyle w:val="NormalWeb"/>
        <w:spacing w:before="2" w:after="2"/>
        <w:rPr>
          <w:rFonts w:asciiTheme="majorHAnsi" w:hAnsiTheme="majorHAnsi"/>
          <w:b/>
          <w:i/>
          <w:sz w:val="24"/>
        </w:rPr>
      </w:pPr>
      <w:r w:rsidRPr="007279B3">
        <w:rPr>
          <w:rFonts w:asciiTheme="majorHAnsi" w:hAnsiTheme="majorHAnsi"/>
          <w:b/>
          <w:i/>
          <w:sz w:val="24"/>
        </w:rPr>
        <w:t>Course Description:</w:t>
      </w:r>
    </w:p>
    <w:p w14:paraId="5EFA1784" w14:textId="77777777" w:rsidR="00294FEB" w:rsidRPr="007279B3" w:rsidRDefault="00294FEB" w:rsidP="00294FEB">
      <w:pPr>
        <w:pStyle w:val="NormalWeb"/>
        <w:spacing w:before="2" w:after="2"/>
        <w:rPr>
          <w:rFonts w:asciiTheme="majorHAnsi" w:hAnsiTheme="majorHAnsi"/>
          <w:i/>
          <w:sz w:val="24"/>
        </w:rPr>
      </w:pPr>
    </w:p>
    <w:p w14:paraId="3B64FD18" w14:textId="77777777" w:rsidR="00294FEB" w:rsidRPr="007279B3" w:rsidRDefault="00294FEB" w:rsidP="00294FEB">
      <w:pPr>
        <w:rPr>
          <w:rFonts w:asciiTheme="majorHAnsi" w:hAnsiTheme="majorHAnsi"/>
        </w:rPr>
      </w:pPr>
      <w:r w:rsidRPr="007279B3">
        <w:rPr>
          <w:rFonts w:asciiTheme="majorHAnsi" w:hAnsiTheme="majorHAnsi"/>
        </w:rPr>
        <w:t>The Domestic Violence Practicum classroom component is the 2-unit required companion course to the Domestic Violence Practicum, where students work in non-profit and government agencies under the supervision of attorneys to receive academic credit.  Students will gain an exposure to and have an opportunity to explore professional responsibility issues, especially as they arise in their internships.  Students will be urged to reflect on their placements and incorporate the skills they are learning into the classroom discussions.</w:t>
      </w:r>
    </w:p>
    <w:p w14:paraId="2C4E48E7" w14:textId="77777777" w:rsidR="00294FEB" w:rsidRPr="007279B3" w:rsidRDefault="00294FEB" w:rsidP="00294FEB">
      <w:pPr>
        <w:rPr>
          <w:rFonts w:asciiTheme="majorHAnsi" w:hAnsiTheme="majorHAnsi"/>
        </w:rPr>
      </w:pPr>
    </w:p>
    <w:p w14:paraId="524F8ED3" w14:textId="77777777" w:rsidR="00294FEB" w:rsidRPr="007279B3" w:rsidRDefault="00294FEB" w:rsidP="00294FEB">
      <w:pPr>
        <w:pStyle w:val="NormalWeb"/>
        <w:spacing w:before="2" w:after="2"/>
        <w:rPr>
          <w:rFonts w:asciiTheme="majorHAnsi" w:hAnsiTheme="majorHAnsi"/>
          <w:i/>
          <w:sz w:val="24"/>
        </w:rPr>
      </w:pPr>
      <w:r w:rsidRPr="007279B3">
        <w:rPr>
          <w:rFonts w:asciiTheme="majorHAnsi" w:hAnsiTheme="majorHAnsi"/>
          <w:sz w:val="24"/>
        </w:rPr>
        <w:t xml:space="preserve">The classroom component meets the law school's Professional Responsibility requirement.   </w:t>
      </w:r>
    </w:p>
    <w:p w14:paraId="51270460" w14:textId="77777777" w:rsidR="00294FEB" w:rsidRPr="007279B3" w:rsidRDefault="00294FEB" w:rsidP="00294FEB">
      <w:pPr>
        <w:pStyle w:val="NormalWeb"/>
        <w:spacing w:before="2" w:after="2"/>
        <w:ind w:left="720"/>
        <w:rPr>
          <w:rFonts w:asciiTheme="majorHAnsi" w:hAnsiTheme="majorHAnsi"/>
          <w:sz w:val="24"/>
        </w:rPr>
      </w:pPr>
    </w:p>
    <w:p w14:paraId="60DFBAE7" w14:textId="77777777" w:rsidR="00294FEB" w:rsidRPr="007279B3" w:rsidRDefault="00294FEB" w:rsidP="00294FEB">
      <w:pPr>
        <w:pStyle w:val="NormalWeb"/>
        <w:spacing w:before="2" w:after="2"/>
        <w:rPr>
          <w:rFonts w:asciiTheme="majorHAnsi" w:hAnsiTheme="majorHAnsi"/>
          <w:sz w:val="24"/>
        </w:rPr>
      </w:pPr>
      <w:r w:rsidRPr="007279B3">
        <w:rPr>
          <w:rFonts w:asciiTheme="majorHAnsi" w:hAnsiTheme="majorHAnsi"/>
          <w:sz w:val="24"/>
        </w:rPr>
        <w:t>The classroom component will include time to discuss the readings on Professional Responsibility and domestic violence issues. There will also be time for students to discuss their work and ask questions of the instructor and each other.</w:t>
      </w:r>
    </w:p>
    <w:p w14:paraId="02121C91" w14:textId="77777777" w:rsidR="00294FEB" w:rsidRPr="007279B3" w:rsidRDefault="00294FEB" w:rsidP="00294FEB">
      <w:pPr>
        <w:pStyle w:val="NormalWeb"/>
        <w:spacing w:before="2" w:after="2"/>
        <w:rPr>
          <w:rFonts w:asciiTheme="majorHAnsi" w:hAnsiTheme="majorHAnsi"/>
          <w:sz w:val="24"/>
        </w:rPr>
      </w:pPr>
    </w:p>
    <w:p w14:paraId="0BDEA8B1" w14:textId="77777777" w:rsidR="00294FEB" w:rsidRPr="007279B3" w:rsidRDefault="00294FEB" w:rsidP="00294FEB">
      <w:pPr>
        <w:pStyle w:val="NormalWeb"/>
        <w:spacing w:before="2" w:after="2"/>
        <w:rPr>
          <w:rFonts w:asciiTheme="majorHAnsi" w:hAnsiTheme="majorHAnsi"/>
          <w:b/>
          <w:i/>
          <w:sz w:val="24"/>
        </w:rPr>
      </w:pPr>
      <w:r w:rsidRPr="007279B3">
        <w:rPr>
          <w:rFonts w:asciiTheme="majorHAnsi" w:hAnsiTheme="majorHAnsi"/>
          <w:b/>
          <w:i/>
          <w:sz w:val="24"/>
        </w:rPr>
        <w:t>Hours, Assessment and Grading:</w:t>
      </w:r>
    </w:p>
    <w:p w14:paraId="77FA42C0" w14:textId="77777777" w:rsidR="00294FEB" w:rsidRPr="007279B3" w:rsidRDefault="00294FEB" w:rsidP="00294FEB">
      <w:pPr>
        <w:rPr>
          <w:rFonts w:asciiTheme="majorHAnsi" w:hAnsiTheme="majorHAnsi"/>
        </w:rPr>
      </w:pPr>
    </w:p>
    <w:p w14:paraId="56DFB647" w14:textId="77777777" w:rsidR="00294FEB" w:rsidRPr="007279B3" w:rsidRDefault="00294FEB" w:rsidP="00294FEB">
      <w:pPr>
        <w:rPr>
          <w:rFonts w:asciiTheme="majorHAnsi" w:hAnsiTheme="majorHAnsi"/>
        </w:rPr>
      </w:pPr>
      <w:r w:rsidRPr="007279B3">
        <w:rPr>
          <w:rFonts w:asciiTheme="majorHAnsi" w:hAnsiTheme="majorHAnsi"/>
        </w:rPr>
        <w:t>The on-site placement component of the Practicum is credit/no credit, and the classroom component is graded using the Berkeley Law system.</w:t>
      </w:r>
    </w:p>
    <w:p w14:paraId="5F609A22" w14:textId="77777777" w:rsidR="00294FEB" w:rsidRPr="007279B3" w:rsidRDefault="00294FEB" w:rsidP="00294FEB">
      <w:pPr>
        <w:rPr>
          <w:rFonts w:asciiTheme="majorHAnsi" w:hAnsiTheme="majorHAnsi"/>
        </w:rPr>
      </w:pPr>
    </w:p>
    <w:p w14:paraId="1805EA1D" w14:textId="77777777" w:rsidR="00294FEB" w:rsidRPr="007279B3" w:rsidRDefault="00294FEB" w:rsidP="00294FEB">
      <w:pPr>
        <w:rPr>
          <w:rFonts w:asciiTheme="majorHAnsi" w:hAnsiTheme="majorHAnsi"/>
        </w:rPr>
      </w:pPr>
      <w:r w:rsidRPr="007279B3">
        <w:rPr>
          <w:rFonts w:asciiTheme="majorHAnsi" w:hAnsiTheme="majorHAnsi"/>
        </w:rPr>
        <w:t>Students will keep track of hours spent at their internships to ensure these are sufficient for the units they are receiving in the course. Students are responsible for making up hours at their internship missed due to illness or emergencies. It is possible to frontload hours so that students finish early, if this is arranged with the on-site supervisor. It is also usually possible to make up missed hours during spring break.</w:t>
      </w:r>
    </w:p>
    <w:p w14:paraId="35F31342" w14:textId="77777777" w:rsidR="00294FEB" w:rsidRPr="007279B3" w:rsidRDefault="00294FEB" w:rsidP="00294FEB">
      <w:pPr>
        <w:rPr>
          <w:rFonts w:asciiTheme="majorHAnsi" w:hAnsiTheme="majorHAnsi"/>
        </w:rPr>
      </w:pPr>
    </w:p>
    <w:p w14:paraId="493691B5" w14:textId="77777777" w:rsidR="00294FEB" w:rsidRPr="007279B3" w:rsidRDefault="00294FEB" w:rsidP="00294FEB">
      <w:pPr>
        <w:rPr>
          <w:rFonts w:asciiTheme="majorHAnsi" w:hAnsiTheme="majorHAnsi"/>
        </w:rPr>
      </w:pPr>
      <w:r w:rsidRPr="007279B3">
        <w:rPr>
          <w:rFonts w:asciiTheme="majorHAnsi" w:hAnsiTheme="majorHAnsi"/>
        </w:rPr>
        <w:t>Students will keep a weekly journal, to be turned in to the instructor before spring break and at the end of the semester. Besides reporting what they did that week, the journals should include reflections on what students are learning, ethical issues, problems that arise, the lawyering process, etc. The instructor is the only person who will read the journals so students are encouraged to feel free to be candid about the instructor, the class, their on-site supervisor, and the agency where they are working.</w:t>
      </w:r>
    </w:p>
    <w:p w14:paraId="4D80B893" w14:textId="77777777" w:rsidR="00294FEB" w:rsidRPr="007279B3" w:rsidRDefault="00294FEB" w:rsidP="00294FEB">
      <w:pPr>
        <w:rPr>
          <w:rFonts w:asciiTheme="majorHAnsi" w:hAnsiTheme="majorHAnsi"/>
        </w:rPr>
      </w:pPr>
    </w:p>
    <w:p w14:paraId="5E35C7DA" w14:textId="77777777" w:rsidR="00294FEB" w:rsidRPr="007279B3" w:rsidRDefault="00294FEB" w:rsidP="00294FEB">
      <w:pPr>
        <w:rPr>
          <w:rFonts w:asciiTheme="majorHAnsi" w:hAnsiTheme="majorHAnsi"/>
        </w:rPr>
      </w:pPr>
      <w:r w:rsidRPr="007279B3">
        <w:rPr>
          <w:rFonts w:asciiTheme="majorHAnsi" w:hAnsiTheme="majorHAnsi"/>
        </w:rPr>
        <w:lastRenderedPageBreak/>
        <w:t>The purpose of the journals is to provide students with an opportunity to reflect on their field placement experience in accordance with ABA Standard 305:  Study Outside the Classroom.  Standard 305 is the ABA rule that allows the law school to give academic credit for these field placement experiences. Journals also provide useful feedback to the instructor regarding how the classroom component and placements are going, and if there are any problems arising that need to be addressed.</w:t>
      </w:r>
    </w:p>
    <w:p w14:paraId="5040D7FA" w14:textId="77777777" w:rsidR="00294FEB" w:rsidRPr="007279B3" w:rsidRDefault="00294FEB" w:rsidP="00294FEB">
      <w:pPr>
        <w:rPr>
          <w:rFonts w:asciiTheme="majorHAnsi" w:hAnsiTheme="majorHAnsi"/>
        </w:rPr>
      </w:pPr>
    </w:p>
    <w:p w14:paraId="62AA6D3B" w14:textId="77777777" w:rsidR="00294FEB" w:rsidRPr="007279B3" w:rsidRDefault="00294FEB" w:rsidP="00294FEB">
      <w:pPr>
        <w:rPr>
          <w:rFonts w:asciiTheme="majorHAnsi" w:hAnsiTheme="majorHAnsi"/>
        </w:rPr>
      </w:pPr>
      <w:r w:rsidRPr="007279B3">
        <w:rPr>
          <w:rFonts w:asciiTheme="majorHAnsi" w:hAnsiTheme="majorHAnsi"/>
        </w:rPr>
        <w:t>Evaluation forms will be completed by students and their supervisors. This will take place half way through the semester (self-assessment by student, then meeting with the supervisor) and also at the end of the semester (assessment by supervisor, then meeting with the student). Evaluation forms will be turned in to Ms. Lemon.</w:t>
      </w:r>
    </w:p>
    <w:p w14:paraId="34B11138" w14:textId="77777777" w:rsidR="007279B3" w:rsidRPr="007279B3" w:rsidRDefault="007279B3" w:rsidP="007279B3">
      <w:pPr>
        <w:rPr>
          <w:rFonts w:asciiTheme="majorHAnsi" w:hAnsiTheme="majorHAnsi"/>
        </w:rPr>
      </w:pPr>
    </w:p>
    <w:p w14:paraId="07EE4FEA" w14:textId="77777777" w:rsidR="007279B3" w:rsidRPr="007279B3" w:rsidRDefault="007279B3" w:rsidP="007279B3">
      <w:pPr>
        <w:rPr>
          <w:rFonts w:asciiTheme="majorHAnsi" w:hAnsiTheme="majorHAnsi"/>
        </w:rPr>
      </w:pPr>
      <w:r w:rsidRPr="007279B3">
        <w:rPr>
          <w:rFonts w:asciiTheme="majorHAnsi" w:hAnsiTheme="majorHAnsi"/>
        </w:rPr>
        <w:t>Grading for this course will be based on several factors:</w:t>
      </w:r>
    </w:p>
    <w:p w14:paraId="5C7C6AD2" w14:textId="77777777" w:rsidR="007279B3" w:rsidRPr="007279B3" w:rsidRDefault="007279B3" w:rsidP="007279B3">
      <w:pPr>
        <w:rPr>
          <w:rFonts w:asciiTheme="majorHAnsi" w:hAnsiTheme="majorHAnsi"/>
        </w:rPr>
      </w:pPr>
    </w:p>
    <w:p w14:paraId="2C1AD794" w14:textId="77777777" w:rsidR="007279B3" w:rsidRPr="007279B3" w:rsidRDefault="007279B3" w:rsidP="007279B3">
      <w:pPr>
        <w:pStyle w:val="ListParagraph"/>
        <w:numPr>
          <w:ilvl w:val="0"/>
          <w:numId w:val="29"/>
        </w:numPr>
        <w:rPr>
          <w:rFonts w:asciiTheme="majorHAnsi" w:hAnsiTheme="majorHAnsi"/>
        </w:rPr>
      </w:pPr>
      <w:r w:rsidRPr="007279B3">
        <w:rPr>
          <w:rFonts w:asciiTheme="majorHAnsi" w:hAnsiTheme="majorHAnsi"/>
        </w:rPr>
        <w:t>Was all the homework turned in?</w:t>
      </w:r>
    </w:p>
    <w:p w14:paraId="1CCD01B7" w14:textId="77777777" w:rsidR="007279B3" w:rsidRPr="007279B3" w:rsidRDefault="007279B3" w:rsidP="007279B3">
      <w:pPr>
        <w:pStyle w:val="ListParagraph"/>
        <w:numPr>
          <w:ilvl w:val="0"/>
          <w:numId w:val="29"/>
        </w:numPr>
        <w:rPr>
          <w:rFonts w:asciiTheme="majorHAnsi" w:hAnsiTheme="majorHAnsi"/>
        </w:rPr>
      </w:pPr>
      <w:r w:rsidRPr="007279B3">
        <w:rPr>
          <w:rFonts w:asciiTheme="majorHAnsi" w:hAnsiTheme="majorHAnsi"/>
        </w:rPr>
        <w:t>Was it turned in on time?</w:t>
      </w:r>
    </w:p>
    <w:p w14:paraId="7FC77EC0" w14:textId="77777777" w:rsidR="007279B3" w:rsidRPr="007279B3" w:rsidRDefault="007279B3" w:rsidP="007279B3">
      <w:pPr>
        <w:pStyle w:val="ListParagraph"/>
        <w:numPr>
          <w:ilvl w:val="0"/>
          <w:numId w:val="29"/>
        </w:numPr>
        <w:rPr>
          <w:rFonts w:asciiTheme="majorHAnsi" w:hAnsiTheme="majorHAnsi"/>
        </w:rPr>
      </w:pPr>
      <w:r w:rsidRPr="007279B3">
        <w:rPr>
          <w:rFonts w:asciiTheme="majorHAnsi" w:hAnsiTheme="majorHAnsi"/>
        </w:rPr>
        <w:t>Was it well written? Did it respond to the questions, cite appropriate authority, include good grammar/spelling/punctuation, present clear and logical statements, etc.?</w:t>
      </w:r>
    </w:p>
    <w:p w14:paraId="23569193" w14:textId="77777777" w:rsidR="007279B3" w:rsidRPr="007279B3" w:rsidRDefault="007279B3" w:rsidP="007279B3">
      <w:pPr>
        <w:pStyle w:val="ListParagraph"/>
        <w:numPr>
          <w:ilvl w:val="0"/>
          <w:numId w:val="29"/>
        </w:numPr>
        <w:rPr>
          <w:rFonts w:asciiTheme="majorHAnsi" w:hAnsiTheme="majorHAnsi"/>
        </w:rPr>
      </w:pPr>
      <w:r w:rsidRPr="007279B3">
        <w:rPr>
          <w:rFonts w:asciiTheme="majorHAnsi" w:hAnsiTheme="majorHAnsi"/>
        </w:rPr>
        <w:t>Did the student attend all classes?</w:t>
      </w:r>
    </w:p>
    <w:p w14:paraId="4B1B77C3" w14:textId="77777777" w:rsidR="007279B3" w:rsidRPr="007279B3" w:rsidRDefault="007279B3" w:rsidP="007279B3">
      <w:pPr>
        <w:pStyle w:val="ListParagraph"/>
        <w:numPr>
          <w:ilvl w:val="0"/>
          <w:numId w:val="29"/>
        </w:numPr>
        <w:rPr>
          <w:rFonts w:asciiTheme="majorHAnsi" w:hAnsiTheme="majorHAnsi"/>
        </w:rPr>
      </w:pPr>
      <w:r w:rsidRPr="007279B3">
        <w:rPr>
          <w:rFonts w:asciiTheme="majorHAnsi" w:hAnsiTheme="majorHAnsi"/>
        </w:rPr>
        <w:t>Did the student participate in class discussions?</w:t>
      </w:r>
    </w:p>
    <w:p w14:paraId="77CE58FD" w14:textId="77777777" w:rsidR="007279B3" w:rsidRPr="007279B3" w:rsidRDefault="007279B3" w:rsidP="007279B3">
      <w:pPr>
        <w:pStyle w:val="ListParagraph"/>
        <w:numPr>
          <w:ilvl w:val="0"/>
          <w:numId w:val="29"/>
        </w:numPr>
        <w:rPr>
          <w:rFonts w:asciiTheme="majorHAnsi" w:hAnsiTheme="majorHAnsi"/>
        </w:rPr>
      </w:pPr>
      <w:r w:rsidRPr="007279B3">
        <w:rPr>
          <w:rFonts w:asciiTheme="majorHAnsi" w:hAnsiTheme="majorHAnsi"/>
        </w:rPr>
        <w:t>Did this participation include contributing interesting and original points of view, moving the discussion forward and helping the class develop a deeper and more nuanced understanding of the subject?</w:t>
      </w:r>
    </w:p>
    <w:p w14:paraId="4238EA5B" w14:textId="77777777" w:rsidR="007279B3" w:rsidRPr="007279B3" w:rsidRDefault="007279B3" w:rsidP="007279B3">
      <w:pPr>
        <w:pStyle w:val="ListParagraph"/>
        <w:numPr>
          <w:ilvl w:val="0"/>
          <w:numId w:val="29"/>
        </w:numPr>
        <w:rPr>
          <w:rFonts w:asciiTheme="majorHAnsi" w:hAnsiTheme="majorHAnsi"/>
        </w:rPr>
      </w:pPr>
      <w:r w:rsidRPr="007279B3">
        <w:rPr>
          <w:rFonts w:asciiTheme="majorHAnsi" w:hAnsiTheme="majorHAnsi"/>
        </w:rPr>
        <w:t>Did the student turn in the journals?</w:t>
      </w:r>
    </w:p>
    <w:p w14:paraId="1C83760F" w14:textId="77777777" w:rsidR="007279B3" w:rsidRPr="007279B3" w:rsidRDefault="007279B3" w:rsidP="007279B3">
      <w:pPr>
        <w:pStyle w:val="ListParagraph"/>
        <w:numPr>
          <w:ilvl w:val="0"/>
          <w:numId w:val="29"/>
        </w:numPr>
        <w:rPr>
          <w:rFonts w:asciiTheme="majorHAnsi" w:hAnsiTheme="majorHAnsi"/>
        </w:rPr>
      </w:pPr>
      <w:r w:rsidRPr="007279B3">
        <w:rPr>
          <w:rFonts w:asciiTheme="majorHAnsi" w:hAnsiTheme="majorHAnsi"/>
        </w:rPr>
        <w:t>Were these turned in on time? (before spring break; at last class)</w:t>
      </w:r>
    </w:p>
    <w:p w14:paraId="7A54DE7C" w14:textId="77777777" w:rsidR="007279B3" w:rsidRPr="007279B3" w:rsidRDefault="007279B3" w:rsidP="007279B3">
      <w:pPr>
        <w:pStyle w:val="ListParagraph"/>
        <w:numPr>
          <w:ilvl w:val="0"/>
          <w:numId w:val="29"/>
        </w:numPr>
        <w:rPr>
          <w:rFonts w:asciiTheme="majorHAnsi" w:hAnsiTheme="majorHAnsi"/>
        </w:rPr>
      </w:pPr>
      <w:r w:rsidRPr="007279B3">
        <w:rPr>
          <w:rFonts w:asciiTheme="majorHAnsi" w:hAnsiTheme="majorHAnsi"/>
        </w:rPr>
        <w:t>Were the entries in the journals thought-provoking and well-written, showing that the student was reflecting on the learning experience and not merely reporting on tasks accomplished?</w:t>
      </w:r>
    </w:p>
    <w:p w14:paraId="24E82E5D" w14:textId="77777777" w:rsidR="007279B3" w:rsidRPr="007279B3" w:rsidRDefault="007279B3" w:rsidP="007279B3">
      <w:pPr>
        <w:pStyle w:val="ListParagraph"/>
        <w:rPr>
          <w:rFonts w:asciiTheme="majorHAnsi" w:hAnsiTheme="majorHAnsi"/>
        </w:rPr>
      </w:pPr>
    </w:p>
    <w:p w14:paraId="7A476E3D" w14:textId="77777777" w:rsidR="007279B3" w:rsidRPr="007279B3" w:rsidRDefault="007279B3" w:rsidP="007279B3">
      <w:pPr>
        <w:rPr>
          <w:rFonts w:asciiTheme="majorHAnsi" w:hAnsiTheme="majorHAnsi"/>
        </w:rPr>
      </w:pPr>
      <w:r w:rsidRPr="007279B3">
        <w:rPr>
          <w:rFonts w:asciiTheme="majorHAnsi" w:hAnsiTheme="majorHAnsi"/>
        </w:rPr>
        <w:t xml:space="preserve">Note that only law students taking this course the first time will be graded on items 1-3, homework, as it is based on learning Professional Responsibility for lawyers. </w:t>
      </w:r>
    </w:p>
    <w:p w14:paraId="215D0CCD" w14:textId="77777777" w:rsidR="007279B3" w:rsidRPr="007279B3" w:rsidRDefault="007279B3" w:rsidP="007279B3">
      <w:pPr>
        <w:rPr>
          <w:rFonts w:asciiTheme="majorHAnsi" w:hAnsiTheme="majorHAnsi"/>
        </w:rPr>
      </w:pPr>
    </w:p>
    <w:p w14:paraId="200016EF" w14:textId="57D6867F" w:rsidR="007279B3" w:rsidRPr="007279B3" w:rsidRDefault="007279B3" w:rsidP="00294FEB">
      <w:pPr>
        <w:rPr>
          <w:rFonts w:asciiTheme="majorHAnsi" w:hAnsiTheme="majorHAnsi"/>
        </w:rPr>
      </w:pPr>
      <w:r w:rsidRPr="007279B3">
        <w:rPr>
          <w:rFonts w:asciiTheme="majorHAnsi" w:hAnsiTheme="majorHAnsi"/>
        </w:rPr>
        <w:t>Non-law students and repeating law students will be graded on items 4-9 only.</w:t>
      </w:r>
    </w:p>
    <w:p w14:paraId="3F2D615A" w14:textId="77777777" w:rsidR="00294FEB" w:rsidRPr="007279B3" w:rsidRDefault="00294FEB" w:rsidP="00294FEB">
      <w:pPr>
        <w:jc w:val="center"/>
        <w:rPr>
          <w:rFonts w:asciiTheme="majorHAnsi" w:hAnsiTheme="majorHAnsi"/>
          <w:i/>
          <w:color w:val="000000" w:themeColor="text1"/>
        </w:rPr>
      </w:pPr>
    </w:p>
    <w:p w14:paraId="4AFC8945" w14:textId="77777777" w:rsidR="00294FEB" w:rsidRPr="007279B3" w:rsidRDefault="00294FEB" w:rsidP="00294FEB">
      <w:pPr>
        <w:rPr>
          <w:rFonts w:asciiTheme="majorHAnsi" w:hAnsiTheme="majorHAnsi"/>
          <w:b/>
          <w:i/>
          <w:color w:val="000000" w:themeColor="text1"/>
        </w:rPr>
      </w:pPr>
      <w:r w:rsidRPr="007279B3">
        <w:rPr>
          <w:rFonts w:asciiTheme="majorHAnsi" w:hAnsiTheme="majorHAnsi"/>
          <w:b/>
          <w:i/>
          <w:color w:val="000000" w:themeColor="text1"/>
        </w:rPr>
        <w:t>Goals:</w:t>
      </w:r>
    </w:p>
    <w:p w14:paraId="552AF228" w14:textId="77777777" w:rsidR="00294FEB" w:rsidRPr="007279B3" w:rsidRDefault="00294FEB" w:rsidP="00294FEB">
      <w:pPr>
        <w:rPr>
          <w:rFonts w:asciiTheme="majorHAnsi" w:hAnsiTheme="majorHAnsi"/>
        </w:rPr>
      </w:pPr>
      <w:r w:rsidRPr="007279B3">
        <w:rPr>
          <w:rFonts w:asciiTheme="majorHAnsi" w:hAnsiTheme="majorHAnsi"/>
        </w:rPr>
        <w:cr/>
        <w:t>The goals of the classroom component of the Domestic Violence Practicum include the following:</w:t>
      </w:r>
      <w:r w:rsidRPr="007279B3">
        <w:rPr>
          <w:rFonts w:asciiTheme="majorHAnsi" w:hAnsiTheme="majorHAnsi"/>
        </w:rPr>
        <w:cr/>
      </w:r>
      <w:r w:rsidRPr="007279B3">
        <w:rPr>
          <w:rFonts w:asciiTheme="majorHAnsi" w:hAnsiTheme="majorHAnsi"/>
        </w:rPr>
        <w:cr/>
        <w:t>1.</w:t>
      </w:r>
      <w:r w:rsidRPr="007279B3">
        <w:rPr>
          <w:rFonts w:asciiTheme="majorHAnsi" w:hAnsiTheme="majorHAnsi"/>
        </w:rPr>
        <w:tab/>
        <w:t>To provide students with an opportunity to reflect on their internship experiences.</w:t>
      </w:r>
      <w:r w:rsidRPr="007279B3">
        <w:rPr>
          <w:rFonts w:asciiTheme="majorHAnsi" w:hAnsiTheme="majorHAnsi"/>
        </w:rPr>
        <w:cr/>
      </w:r>
      <w:r w:rsidRPr="007279B3">
        <w:rPr>
          <w:rFonts w:asciiTheme="majorHAnsi" w:hAnsiTheme="majorHAnsi"/>
        </w:rPr>
        <w:cr/>
        <w:t>2.</w:t>
      </w:r>
      <w:r w:rsidRPr="007279B3">
        <w:rPr>
          <w:rFonts w:asciiTheme="majorHAnsi" w:hAnsiTheme="majorHAnsi"/>
        </w:rPr>
        <w:tab/>
        <w:t>To introduce students to professional responsibility topics, particularly as they relate to internships.</w:t>
      </w:r>
      <w:r w:rsidRPr="007279B3">
        <w:rPr>
          <w:rFonts w:asciiTheme="majorHAnsi" w:hAnsiTheme="majorHAnsi"/>
        </w:rPr>
        <w:cr/>
      </w:r>
      <w:r w:rsidRPr="007279B3">
        <w:rPr>
          <w:rFonts w:asciiTheme="majorHAnsi" w:hAnsiTheme="majorHAnsi"/>
        </w:rPr>
        <w:cr/>
        <w:t>3.</w:t>
      </w:r>
      <w:r w:rsidRPr="007279B3">
        <w:rPr>
          <w:rFonts w:asciiTheme="majorHAnsi" w:hAnsiTheme="majorHAnsi"/>
        </w:rPr>
        <w:tab/>
        <w:t xml:space="preserve">To engage students in discussions around topics such as access to justice, government lawyering, stress management/balance/time management, and civility/professionalism.  </w:t>
      </w:r>
      <w:r w:rsidRPr="007279B3">
        <w:rPr>
          <w:rFonts w:asciiTheme="majorHAnsi" w:hAnsiTheme="majorHAnsi"/>
        </w:rPr>
        <w:cr/>
      </w:r>
      <w:r w:rsidRPr="007279B3">
        <w:rPr>
          <w:rFonts w:asciiTheme="majorHAnsi" w:hAnsiTheme="majorHAnsi"/>
        </w:rPr>
        <w:cr/>
        <w:t>4.</w:t>
      </w:r>
      <w:r w:rsidRPr="007279B3">
        <w:rPr>
          <w:rFonts w:asciiTheme="majorHAnsi" w:hAnsiTheme="majorHAnsi"/>
        </w:rPr>
        <w:tab/>
        <w:t>To encourage students to learn from each other how to deal with challenges at their internships and how to deepen their internship experiences.</w:t>
      </w:r>
      <w:r w:rsidRPr="007279B3">
        <w:rPr>
          <w:rFonts w:asciiTheme="majorHAnsi" w:hAnsiTheme="majorHAnsi"/>
        </w:rPr>
        <w:cr/>
      </w:r>
      <w:r w:rsidRPr="007279B3">
        <w:rPr>
          <w:rFonts w:asciiTheme="majorHAnsi" w:hAnsiTheme="majorHAnsi"/>
        </w:rPr>
        <w:cr/>
        <w:t>5.</w:t>
      </w:r>
      <w:r w:rsidRPr="007279B3">
        <w:rPr>
          <w:rFonts w:asciiTheme="majorHAnsi" w:hAnsiTheme="majorHAnsi"/>
        </w:rPr>
        <w:tab/>
        <w:t>To expose students and provide them opportunities to practice their professional skills in the context of their internships.</w:t>
      </w:r>
      <w:r w:rsidRPr="007279B3">
        <w:rPr>
          <w:rFonts w:asciiTheme="majorHAnsi" w:hAnsiTheme="majorHAnsi"/>
        </w:rPr>
        <w:cr/>
      </w:r>
      <w:r w:rsidRPr="007279B3">
        <w:rPr>
          <w:rFonts w:asciiTheme="majorHAnsi" w:hAnsiTheme="majorHAnsi"/>
        </w:rPr>
        <w:cr/>
        <w:t>6.</w:t>
      </w:r>
      <w:r w:rsidRPr="007279B3">
        <w:rPr>
          <w:rFonts w:asciiTheme="majorHAnsi" w:hAnsiTheme="majorHAnsi"/>
        </w:rPr>
        <w:tab/>
        <w:t>To examine the settings students are working in and the types of lawyering they are observing with the goal of helping them to make more informed choices when they move forward in their legal careers.</w:t>
      </w:r>
      <w:r w:rsidRPr="007279B3">
        <w:rPr>
          <w:rFonts w:asciiTheme="majorHAnsi" w:hAnsiTheme="majorHAnsi"/>
        </w:rPr>
        <w:cr/>
      </w:r>
      <w:r w:rsidRPr="007279B3">
        <w:rPr>
          <w:rFonts w:asciiTheme="majorHAnsi" w:hAnsiTheme="majorHAnsi"/>
        </w:rPr>
        <w:cr/>
        <w:t>7.</w:t>
      </w:r>
      <w:r w:rsidRPr="007279B3">
        <w:rPr>
          <w:rFonts w:asciiTheme="majorHAnsi" w:hAnsiTheme="majorHAnsi"/>
        </w:rPr>
        <w:tab/>
        <w:t>To learn to reflect on and discuss how the ethics rules and cases they learn promote or impair justice, and how those rules help or hinder attorneys from doing their jobs.</w:t>
      </w:r>
    </w:p>
    <w:p w14:paraId="6B98DD6B" w14:textId="77777777" w:rsidR="00294FEB" w:rsidRPr="007279B3" w:rsidRDefault="00294FEB" w:rsidP="00294FEB">
      <w:pPr>
        <w:rPr>
          <w:rFonts w:asciiTheme="majorHAnsi" w:hAnsiTheme="majorHAnsi"/>
        </w:rPr>
      </w:pPr>
    </w:p>
    <w:p w14:paraId="6273397F" w14:textId="77777777" w:rsidR="00294FEB" w:rsidRPr="007279B3" w:rsidRDefault="00294FEB" w:rsidP="00294FEB">
      <w:pPr>
        <w:rPr>
          <w:rFonts w:asciiTheme="majorHAnsi" w:hAnsiTheme="majorHAnsi"/>
          <w:b/>
          <w:i/>
        </w:rPr>
      </w:pPr>
      <w:r w:rsidRPr="007279B3">
        <w:rPr>
          <w:rFonts w:asciiTheme="majorHAnsi" w:hAnsiTheme="majorHAnsi"/>
          <w:b/>
          <w:i/>
        </w:rPr>
        <w:t>Laptops:</w:t>
      </w:r>
    </w:p>
    <w:p w14:paraId="79719F11" w14:textId="77777777" w:rsidR="00294FEB" w:rsidRPr="007279B3" w:rsidRDefault="00294FEB" w:rsidP="00294FEB">
      <w:pPr>
        <w:rPr>
          <w:rFonts w:asciiTheme="majorHAnsi" w:hAnsiTheme="majorHAnsi"/>
        </w:rPr>
      </w:pPr>
    </w:p>
    <w:p w14:paraId="16F03887" w14:textId="77777777" w:rsidR="00294FEB" w:rsidRPr="007279B3" w:rsidRDefault="00294FEB" w:rsidP="00294FEB">
      <w:pPr>
        <w:rPr>
          <w:rFonts w:asciiTheme="majorHAnsi" w:hAnsiTheme="majorHAnsi"/>
        </w:rPr>
      </w:pPr>
      <w:r w:rsidRPr="007279B3">
        <w:rPr>
          <w:rFonts w:asciiTheme="majorHAnsi" w:hAnsiTheme="majorHAnsi"/>
        </w:rPr>
        <w:t>To ensure participation and to show consideration to others, students are asked not to access the Internet or engage in emailing/instant messaging/texting during class.</w:t>
      </w:r>
      <w:r w:rsidRPr="007279B3">
        <w:rPr>
          <w:rFonts w:asciiTheme="majorHAnsi" w:hAnsiTheme="majorHAnsi"/>
        </w:rPr>
        <w:cr/>
      </w:r>
    </w:p>
    <w:p w14:paraId="18B55582" w14:textId="77777777" w:rsidR="00294FEB" w:rsidRPr="007279B3" w:rsidRDefault="00294FEB" w:rsidP="00294FEB">
      <w:pPr>
        <w:jc w:val="center"/>
        <w:rPr>
          <w:rFonts w:asciiTheme="majorHAnsi" w:hAnsiTheme="majorHAnsi"/>
          <w:b/>
        </w:rPr>
      </w:pPr>
      <w:r w:rsidRPr="007279B3">
        <w:rPr>
          <w:rFonts w:asciiTheme="majorHAnsi" w:hAnsiTheme="majorHAnsi"/>
          <w:b/>
        </w:rPr>
        <w:t>Materials</w:t>
      </w:r>
    </w:p>
    <w:p w14:paraId="7F9E141F" w14:textId="77777777" w:rsidR="00294FEB" w:rsidRPr="007279B3" w:rsidRDefault="00294FEB" w:rsidP="00294FEB">
      <w:pPr>
        <w:rPr>
          <w:rFonts w:asciiTheme="majorHAnsi" w:hAnsiTheme="majorHAnsi"/>
        </w:rPr>
      </w:pPr>
    </w:p>
    <w:p w14:paraId="6E76D66E" w14:textId="77777777" w:rsidR="00294FEB" w:rsidRPr="007279B3" w:rsidRDefault="00294FEB" w:rsidP="00294FEB">
      <w:pPr>
        <w:rPr>
          <w:rFonts w:asciiTheme="majorHAnsi" w:hAnsiTheme="majorHAnsi"/>
          <w:color w:val="000000" w:themeColor="text1"/>
        </w:rPr>
      </w:pPr>
      <w:r w:rsidRPr="007279B3">
        <w:rPr>
          <w:rFonts w:asciiTheme="majorHAnsi" w:hAnsiTheme="majorHAnsi"/>
        </w:rPr>
        <w:t>The following materials will be reviewed throughout the semester:</w:t>
      </w:r>
      <w:r w:rsidRPr="007279B3">
        <w:rPr>
          <w:rFonts w:asciiTheme="majorHAnsi" w:hAnsiTheme="majorHAnsi"/>
        </w:rPr>
        <w:cr/>
      </w:r>
      <w:r w:rsidRPr="007279B3">
        <w:rPr>
          <w:rFonts w:asciiTheme="majorHAnsi" w:hAnsiTheme="majorHAnsi"/>
        </w:rPr>
        <w:cr/>
        <w:t>The ABA Model Rules of Professional Conduct:</w:t>
      </w:r>
      <w:r w:rsidRPr="007279B3">
        <w:rPr>
          <w:rFonts w:asciiTheme="majorHAnsi" w:hAnsiTheme="majorHAnsi"/>
        </w:rPr>
        <w:cr/>
      </w:r>
      <w:r w:rsidRPr="007279B3">
        <w:rPr>
          <w:rFonts w:asciiTheme="majorHAnsi" w:hAnsiTheme="majorHAnsi"/>
        </w:rPr>
        <w:tab/>
      </w:r>
      <w:r w:rsidRPr="007279B3">
        <w:rPr>
          <w:rFonts w:asciiTheme="majorHAnsi" w:hAnsiTheme="majorHAnsi"/>
          <w:u w:val="single"/>
        </w:rPr>
        <w:t>Without commentary</w:t>
      </w:r>
      <w:r w:rsidRPr="007279B3">
        <w:rPr>
          <w:rFonts w:asciiTheme="majorHAnsi" w:hAnsiTheme="majorHAnsi"/>
        </w:rPr>
        <w:t xml:space="preserve">:  </w:t>
      </w:r>
      <w:r w:rsidRPr="007279B3">
        <w:rPr>
          <w:rFonts w:asciiTheme="majorHAnsi" w:hAnsiTheme="majorHAnsi"/>
          <w:color w:val="0000FF"/>
          <w:u w:val="single"/>
        </w:rPr>
        <w:t>http://www.law.cornell.edu/ethics/aba</w:t>
      </w:r>
      <w:r w:rsidRPr="007279B3">
        <w:rPr>
          <w:rFonts w:asciiTheme="majorHAnsi" w:hAnsiTheme="majorHAnsi"/>
        </w:rPr>
        <w:cr/>
      </w:r>
      <w:r w:rsidRPr="007279B3">
        <w:rPr>
          <w:rFonts w:asciiTheme="majorHAnsi" w:hAnsiTheme="majorHAnsi"/>
        </w:rPr>
        <w:tab/>
      </w:r>
      <w:r w:rsidRPr="007279B3">
        <w:rPr>
          <w:rFonts w:asciiTheme="majorHAnsi" w:hAnsiTheme="majorHAnsi"/>
          <w:u w:val="single"/>
        </w:rPr>
        <w:t>With commentary</w:t>
      </w:r>
      <w:r w:rsidRPr="007279B3">
        <w:rPr>
          <w:rFonts w:asciiTheme="majorHAnsi" w:hAnsiTheme="majorHAnsi"/>
        </w:rPr>
        <w:t xml:space="preserve">:  </w:t>
      </w:r>
      <w:r w:rsidRPr="007279B3">
        <w:rPr>
          <w:rFonts w:asciiTheme="majorHAnsi" w:hAnsiTheme="majorHAnsi"/>
          <w:color w:val="0000FF"/>
          <w:u w:val="single"/>
        </w:rPr>
        <w:t>http://www.abanet.org/cpr/mrpc/mrpc_toc.html</w:t>
      </w:r>
      <w:r w:rsidRPr="007279B3">
        <w:rPr>
          <w:rFonts w:asciiTheme="majorHAnsi" w:hAnsiTheme="majorHAnsi"/>
        </w:rPr>
        <w:cr/>
      </w:r>
      <w:r w:rsidRPr="007279B3">
        <w:rPr>
          <w:rFonts w:asciiTheme="majorHAnsi" w:hAnsiTheme="majorHAnsi"/>
        </w:rPr>
        <w:cr/>
        <w:t>The California Rules of Professional Conduct:</w:t>
      </w:r>
      <w:r w:rsidRPr="007279B3">
        <w:rPr>
          <w:rFonts w:asciiTheme="majorHAnsi" w:hAnsiTheme="majorHAnsi"/>
        </w:rPr>
        <w:cr/>
      </w:r>
      <w:r w:rsidRPr="007279B3">
        <w:rPr>
          <w:rFonts w:asciiTheme="majorHAnsi" w:hAnsiTheme="majorHAnsi"/>
        </w:rPr>
        <w:tab/>
        <w:t>http</w:t>
      </w:r>
      <w:r w:rsidRPr="007279B3">
        <w:rPr>
          <w:rFonts w:asciiTheme="majorHAnsi" w:hAnsiTheme="majorHAnsi"/>
          <w:color w:val="0000FF"/>
          <w:u w:val="single"/>
        </w:rPr>
        <w:t>://rules.calbar.ca.gov/Rules/RulesofProfessionalConduct/CurrentRules.aspx</w:t>
      </w:r>
      <w:r w:rsidRPr="007279B3">
        <w:rPr>
          <w:rFonts w:asciiTheme="majorHAnsi" w:hAnsiTheme="majorHAnsi"/>
        </w:rPr>
        <w:cr/>
      </w:r>
      <w:r w:rsidRPr="007279B3">
        <w:rPr>
          <w:rFonts w:asciiTheme="majorHAnsi" w:hAnsiTheme="majorHAnsi"/>
        </w:rPr>
        <w:cr/>
        <w:t>A chart comparing the two is available at:</w:t>
      </w:r>
      <w:r w:rsidRPr="007279B3">
        <w:rPr>
          <w:rFonts w:asciiTheme="majorHAnsi" w:hAnsiTheme="majorHAnsi"/>
        </w:rPr>
        <w:cr/>
      </w:r>
      <w:r w:rsidRPr="007279B3">
        <w:rPr>
          <w:rFonts w:asciiTheme="majorHAnsi" w:hAnsiTheme="majorHAnsi"/>
        </w:rPr>
        <w:tab/>
      </w:r>
      <w:r w:rsidRPr="007279B3">
        <w:rPr>
          <w:rFonts w:asciiTheme="majorHAnsi" w:hAnsiTheme="majorHAnsi"/>
          <w:color w:val="0000FF"/>
          <w:u w:val="single"/>
        </w:rPr>
        <w:t>http://ethics.calbar.ca.gov/LinkClick.aspx?fileticket=MIP6xb6dO5w%3d&amp;tabid=856</w:t>
      </w:r>
      <w:r w:rsidRPr="007279B3">
        <w:rPr>
          <w:rFonts w:asciiTheme="majorHAnsi" w:hAnsiTheme="majorHAnsi"/>
        </w:rPr>
        <w:cr/>
      </w:r>
    </w:p>
    <w:p w14:paraId="600D2CD3" w14:textId="44F66BC3" w:rsidR="00294FEB" w:rsidRPr="007279B3" w:rsidRDefault="00294FEB" w:rsidP="00294FEB">
      <w:pPr>
        <w:jc w:val="center"/>
        <w:rPr>
          <w:rFonts w:asciiTheme="majorHAnsi" w:hAnsiTheme="majorHAnsi"/>
          <w:b/>
          <w:color w:val="000000" w:themeColor="text1"/>
        </w:rPr>
      </w:pPr>
      <w:r w:rsidRPr="007279B3">
        <w:rPr>
          <w:rFonts w:asciiTheme="majorHAnsi" w:hAnsiTheme="majorHAnsi"/>
          <w:b/>
          <w:color w:val="000000" w:themeColor="text1"/>
        </w:rPr>
        <w:t>California-Specific Resources</w:t>
      </w:r>
      <w:bookmarkStart w:id="0" w:name="_GoBack"/>
      <w:bookmarkEnd w:id="0"/>
    </w:p>
    <w:p w14:paraId="747D8606" w14:textId="77777777" w:rsidR="00294FEB" w:rsidRPr="007279B3" w:rsidRDefault="00294FEB" w:rsidP="00294FEB">
      <w:pPr>
        <w:widowControl w:val="0"/>
        <w:tabs>
          <w:tab w:val="center" w:pos="4680"/>
        </w:tabs>
        <w:rPr>
          <w:rFonts w:asciiTheme="majorHAnsi" w:hAnsiTheme="majorHAnsi"/>
          <w:color w:val="000000" w:themeColor="text1"/>
        </w:rPr>
      </w:pPr>
    </w:p>
    <w:p w14:paraId="0E8B7930" w14:textId="0CC176B7" w:rsidR="00294FEB" w:rsidRPr="007279B3" w:rsidRDefault="00294FEB" w:rsidP="00294FEB">
      <w:pPr>
        <w:widowControl w:val="0"/>
        <w:tabs>
          <w:tab w:val="center" w:pos="4680"/>
        </w:tabs>
        <w:rPr>
          <w:rFonts w:asciiTheme="majorHAnsi" w:hAnsiTheme="majorHAnsi"/>
          <w:color w:val="000000" w:themeColor="text1"/>
        </w:rPr>
      </w:pPr>
      <w:r w:rsidRPr="007279B3">
        <w:rPr>
          <w:rFonts w:asciiTheme="majorHAnsi" w:hAnsiTheme="majorHAnsi"/>
          <w:color w:val="000000" w:themeColor="text1"/>
        </w:rPr>
        <w:t xml:space="preserve">California Bar Ethics Hotline 1-800-238-4427, </w:t>
      </w:r>
      <w:hyperlink r:id="rId8" w:history="1">
        <w:r w:rsidRPr="007279B3">
          <w:rPr>
            <w:rStyle w:val="Hyperlink"/>
            <w:rFonts w:asciiTheme="majorHAnsi" w:hAnsiTheme="majorHAnsi"/>
            <w:color w:val="000000" w:themeColor="text1"/>
          </w:rPr>
          <w:t>http://ethics.calbar.ca.gov/</w:t>
        </w:r>
      </w:hyperlink>
    </w:p>
    <w:p w14:paraId="17B4D439" w14:textId="77777777" w:rsidR="00294FEB" w:rsidRPr="007279B3" w:rsidRDefault="00294FEB" w:rsidP="00294FEB">
      <w:pPr>
        <w:rPr>
          <w:rFonts w:asciiTheme="majorHAnsi" w:hAnsiTheme="majorHAnsi"/>
          <w:color w:val="000000" w:themeColor="text1"/>
        </w:rPr>
      </w:pPr>
    </w:p>
    <w:p w14:paraId="0F3E4183" w14:textId="77777777" w:rsidR="00294FEB" w:rsidRPr="007279B3" w:rsidRDefault="00294FEB" w:rsidP="00294FEB">
      <w:pPr>
        <w:widowControl w:val="0"/>
        <w:autoSpaceDE w:val="0"/>
        <w:autoSpaceDN w:val="0"/>
        <w:adjustRightInd w:val="0"/>
        <w:ind w:right="-720"/>
        <w:jc w:val="both"/>
        <w:rPr>
          <w:rFonts w:asciiTheme="majorHAnsi" w:hAnsiTheme="majorHAnsi" w:cs="Times New Roman"/>
          <w:color w:val="000000" w:themeColor="text1"/>
        </w:rPr>
      </w:pPr>
    </w:p>
    <w:p w14:paraId="6263F7E9" w14:textId="77777777" w:rsidR="00294FEB" w:rsidRPr="007279B3" w:rsidRDefault="00294FEB" w:rsidP="00294FEB">
      <w:pPr>
        <w:widowControl w:val="0"/>
        <w:autoSpaceDE w:val="0"/>
        <w:autoSpaceDN w:val="0"/>
        <w:adjustRightInd w:val="0"/>
        <w:jc w:val="center"/>
        <w:rPr>
          <w:rFonts w:asciiTheme="majorHAnsi" w:hAnsiTheme="majorHAnsi" w:cs="Times New Roman"/>
          <w:b/>
          <w:color w:val="000000" w:themeColor="text1"/>
          <w:szCs w:val="26"/>
        </w:rPr>
      </w:pPr>
      <w:r w:rsidRPr="007279B3">
        <w:rPr>
          <w:rFonts w:asciiTheme="majorHAnsi" w:hAnsiTheme="majorHAnsi" w:cs="Times New Roman"/>
          <w:b/>
          <w:color w:val="000000" w:themeColor="text1"/>
          <w:szCs w:val="26"/>
        </w:rPr>
        <w:t>Weekly Topics and Readings</w:t>
      </w:r>
    </w:p>
    <w:p w14:paraId="302A7DC3" w14:textId="77777777" w:rsidR="00294FEB" w:rsidRPr="007279B3" w:rsidRDefault="00294FEB" w:rsidP="00294FEB">
      <w:pPr>
        <w:rPr>
          <w:rFonts w:asciiTheme="majorHAnsi" w:hAnsiTheme="majorHAnsi"/>
          <w:color w:val="000000" w:themeColor="text1"/>
        </w:rPr>
      </w:pPr>
    </w:p>
    <w:p w14:paraId="69276CB1" w14:textId="77777777" w:rsidR="00294FEB" w:rsidRPr="007279B3" w:rsidRDefault="00294FEB" w:rsidP="00294FEB">
      <w:pPr>
        <w:rPr>
          <w:rFonts w:asciiTheme="majorHAnsi" w:hAnsiTheme="majorHAnsi"/>
          <w:b/>
          <w:i/>
          <w:color w:val="000000" w:themeColor="text1"/>
        </w:rPr>
      </w:pPr>
      <w:r w:rsidRPr="007279B3">
        <w:rPr>
          <w:rFonts w:asciiTheme="majorHAnsi" w:hAnsiTheme="majorHAnsi"/>
          <w:b/>
          <w:i/>
          <w:color w:val="000000" w:themeColor="text1"/>
        </w:rPr>
        <w:t>Week 1</w:t>
      </w:r>
    </w:p>
    <w:p w14:paraId="2881ADC0" w14:textId="77777777" w:rsidR="00294FEB" w:rsidRPr="007279B3" w:rsidRDefault="00294FEB" w:rsidP="00294FEB">
      <w:pPr>
        <w:rPr>
          <w:rFonts w:asciiTheme="majorHAnsi" w:hAnsiTheme="majorHAnsi"/>
          <w:color w:val="000000" w:themeColor="text1"/>
        </w:rPr>
      </w:pPr>
    </w:p>
    <w:p w14:paraId="11F3645D" w14:textId="68219AED" w:rsidR="00294FEB" w:rsidRPr="007279B3" w:rsidRDefault="00294FEB" w:rsidP="00294FEB">
      <w:pPr>
        <w:rPr>
          <w:rFonts w:asciiTheme="majorHAnsi" w:hAnsiTheme="majorHAnsi"/>
        </w:rPr>
      </w:pPr>
      <w:r w:rsidRPr="007279B3">
        <w:rPr>
          <w:rFonts w:asciiTheme="majorHAnsi" w:hAnsiTheme="majorHAnsi"/>
        </w:rPr>
        <w:t>Nancy K. D.</w:t>
      </w:r>
      <w:r w:rsidR="00674791" w:rsidRPr="007279B3">
        <w:rPr>
          <w:rFonts w:asciiTheme="majorHAnsi" w:hAnsiTheme="majorHAnsi"/>
        </w:rPr>
        <w:t xml:space="preserve"> Lemon, Domestic Violence Law (4th ed, West/Thomson, 2013</w:t>
      </w:r>
      <w:r w:rsidRPr="007279B3">
        <w:rPr>
          <w:rFonts w:asciiTheme="majorHAnsi" w:hAnsiTheme="majorHAnsi"/>
        </w:rPr>
        <w:t>) (recommended if you have not already read this - on course reserve or buy a copy online)</w:t>
      </w:r>
    </w:p>
    <w:p w14:paraId="415DED72" w14:textId="77777777" w:rsidR="00294FEB" w:rsidRPr="007279B3" w:rsidRDefault="00294FEB" w:rsidP="00294FEB">
      <w:pPr>
        <w:rPr>
          <w:rFonts w:asciiTheme="majorHAnsi" w:hAnsiTheme="majorHAnsi"/>
        </w:rPr>
      </w:pPr>
    </w:p>
    <w:p w14:paraId="4B6B07F4" w14:textId="77777777" w:rsidR="00294FEB" w:rsidRPr="007279B3" w:rsidRDefault="00294FEB" w:rsidP="00294FEB">
      <w:pPr>
        <w:rPr>
          <w:rFonts w:asciiTheme="majorHAnsi" w:hAnsiTheme="majorHAnsi"/>
          <w:color w:val="000000" w:themeColor="text1"/>
        </w:rPr>
      </w:pPr>
      <w:r w:rsidRPr="007279B3">
        <w:rPr>
          <w:rFonts w:asciiTheme="majorHAnsi" w:hAnsiTheme="majorHAnsi"/>
        </w:rPr>
        <w:t>Discuss your own ethics and morals in relation to the topic of professional responsibility in the legal profession.  Have you given it much thought?  Has the topic been discussed in your classes or your work?  What do you think it means to be a moral, ethical, and/or professionally responsible lawyer?</w:t>
      </w:r>
      <w:r w:rsidRPr="007279B3">
        <w:rPr>
          <w:rFonts w:asciiTheme="majorHAnsi" w:hAnsiTheme="majorHAnsi"/>
        </w:rPr>
        <w:cr/>
      </w:r>
    </w:p>
    <w:p w14:paraId="641CF7CD"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 Confidentiality within practicum class discussions</w:t>
      </w:r>
    </w:p>
    <w:p w14:paraId="465B5D59"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Distinction between duty of confidentiality and attorney/client privilege</w:t>
      </w:r>
    </w:p>
    <w:p w14:paraId="3A18EC0F" w14:textId="77777777" w:rsidR="00294FEB" w:rsidRPr="007279B3" w:rsidRDefault="00294FEB" w:rsidP="00294FEB">
      <w:pPr>
        <w:rPr>
          <w:rFonts w:asciiTheme="majorHAnsi" w:hAnsiTheme="majorHAnsi"/>
          <w:color w:val="000000" w:themeColor="text1"/>
        </w:rPr>
      </w:pPr>
    </w:p>
    <w:p w14:paraId="6924D549"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Nancy K. D. Lemon, Guidelines Regarding Confidentiality Of Client Information When Discussing Outside Placements (2005) (bspace)</w:t>
      </w:r>
    </w:p>
    <w:p w14:paraId="4517498E" w14:textId="77777777" w:rsidR="00294FEB" w:rsidRPr="007279B3" w:rsidRDefault="00294FEB" w:rsidP="00294FEB">
      <w:pPr>
        <w:rPr>
          <w:rFonts w:asciiTheme="majorHAnsi" w:hAnsiTheme="majorHAnsi"/>
          <w:color w:val="000000" w:themeColor="text1"/>
        </w:rPr>
      </w:pPr>
    </w:p>
    <w:p w14:paraId="296DA5FA"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Model Rule 1.6 (read online at website above)</w:t>
      </w:r>
    </w:p>
    <w:p w14:paraId="6E85360B"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Ca. Bus. &amp; Prof. Code section 6068(e) (bspace)</w:t>
      </w:r>
    </w:p>
    <w:p w14:paraId="0777361E"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Ca. Evid. Code sections 952, 954 (bspace)</w:t>
      </w:r>
    </w:p>
    <w:p w14:paraId="0363C297"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Restatement of the Law Governing Lawyers, Sec. 60(1)(a) (bspace)</w:t>
      </w:r>
    </w:p>
    <w:p w14:paraId="252CDC58"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Ca. Rule of Professional Conduct 3-100 (read online at website above)</w:t>
      </w:r>
    </w:p>
    <w:p w14:paraId="450DEC5E" w14:textId="77777777" w:rsidR="00294FEB" w:rsidRPr="007279B3" w:rsidRDefault="00294FEB" w:rsidP="00294FEB">
      <w:pPr>
        <w:rPr>
          <w:rFonts w:asciiTheme="majorHAnsi" w:hAnsiTheme="majorHAnsi"/>
          <w:color w:val="000000" w:themeColor="text1"/>
        </w:rPr>
      </w:pPr>
    </w:p>
    <w:p w14:paraId="4231A82B" w14:textId="77777777" w:rsidR="00294FEB" w:rsidRPr="007279B3" w:rsidRDefault="00294FEB" w:rsidP="00294FEB">
      <w:pPr>
        <w:rPr>
          <w:rFonts w:asciiTheme="majorHAnsi" w:hAnsiTheme="majorHAnsi"/>
          <w:b/>
          <w:i/>
          <w:color w:val="000000" w:themeColor="text1"/>
        </w:rPr>
      </w:pPr>
      <w:r w:rsidRPr="007279B3">
        <w:rPr>
          <w:rFonts w:asciiTheme="majorHAnsi" w:hAnsiTheme="majorHAnsi"/>
          <w:b/>
          <w:i/>
          <w:color w:val="000000" w:themeColor="text1"/>
        </w:rPr>
        <w:t>Week 2</w:t>
      </w:r>
    </w:p>
    <w:p w14:paraId="060D412E" w14:textId="77777777" w:rsidR="00294FEB" w:rsidRPr="007279B3" w:rsidRDefault="00294FEB" w:rsidP="00294FEB">
      <w:pPr>
        <w:rPr>
          <w:rFonts w:asciiTheme="majorHAnsi" w:hAnsiTheme="majorHAnsi"/>
          <w:i/>
          <w:color w:val="000000" w:themeColor="text1"/>
        </w:rPr>
      </w:pPr>
    </w:p>
    <w:p w14:paraId="458A4718"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Nancy K. D. Lemon, Manual on Domestic Violence, Ca. Partnership to End Domestic Violence (4</w:t>
      </w:r>
      <w:r w:rsidRPr="007279B3">
        <w:rPr>
          <w:rFonts w:asciiTheme="majorHAnsi" w:hAnsiTheme="majorHAnsi"/>
          <w:color w:val="000000" w:themeColor="text1"/>
          <w:vertAlign w:val="superscript"/>
        </w:rPr>
        <w:t>th</w:t>
      </w:r>
      <w:r w:rsidRPr="007279B3">
        <w:rPr>
          <w:rFonts w:asciiTheme="majorHAnsi" w:hAnsiTheme="majorHAnsi"/>
          <w:color w:val="000000" w:themeColor="text1"/>
        </w:rPr>
        <w:t xml:space="preserve"> ed, 2011) (bspace) - Chapter 1, Your Client, The Law and Society</w:t>
      </w:r>
    </w:p>
    <w:p w14:paraId="64D64533" w14:textId="77777777" w:rsidR="00294FEB" w:rsidRPr="007279B3" w:rsidRDefault="00294FEB" w:rsidP="00294FEB">
      <w:pPr>
        <w:rPr>
          <w:rFonts w:asciiTheme="majorHAnsi" w:hAnsiTheme="majorHAnsi"/>
          <w:color w:val="000000" w:themeColor="text1"/>
        </w:rPr>
      </w:pPr>
    </w:p>
    <w:p w14:paraId="0B299B6F"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 xml:space="preserve">Hypothetical Problem based on </w:t>
      </w:r>
      <w:r w:rsidRPr="007279B3">
        <w:rPr>
          <w:rFonts w:asciiTheme="majorHAnsi" w:hAnsiTheme="majorHAnsi"/>
          <w:i/>
          <w:color w:val="000000" w:themeColor="text1"/>
        </w:rPr>
        <w:t>Roberts v Healey</w:t>
      </w:r>
      <w:r w:rsidRPr="007279B3">
        <w:rPr>
          <w:rFonts w:asciiTheme="majorHAnsi" w:hAnsiTheme="majorHAnsi"/>
          <w:color w:val="000000" w:themeColor="text1"/>
        </w:rPr>
        <w:t xml:space="preserve"> case</w:t>
      </w:r>
    </w:p>
    <w:p w14:paraId="563CA5FF" w14:textId="77777777" w:rsidR="00294FEB" w:rsidRPr="007279B3" w:rsidRDefault="00294FEB" w:rsidP="00294FEB">
      <w:pPr>
        <w:rPr>
          <w:rFonts w:asciiTheme="majorHAnsi" w:hAnsiTheme="majorHAnsi"/>
          <w:color w:val="000000" w:themeColor="text1"/>
        </w:rPr>
      </w:pPr>
    </w:p>
    <w:p w14:paraId="6FB91C13"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 xml:space="preserve">• Overview of Professional Ethics in Domestic Violence Cases </w:t>
      </w:r>
    </w:p>
    <w:p w14:paraId="2B76E915" w14:textId="77777777" w:rsidR="00294FEB" w:rsidRPr="007279B3" w:rsidRDefault="00294FEB" w:rsidP="00294FEB">
      <w:pPr>
        <w:rPr>
          <w:rFonts w:asciiTheme="majorHAnsi" w:hAnsiTheme="majorHAnsi"/>
          <w:color w:val="000000" w:themeColor="text1"/>
        </w:rPr>
      </w:pPr>
    </w:p>
    <w:p w14:paraId="0BD89EED" w14:textId="77777777" w:rsidR="00294FEB" w:rsidRPr="007279B3" w:rsidRDefault="00294FEB" w:rsidP="00294FEB">
      <w:pPr>
        <w:rPr>
          <w:rFonts w:asciiTheme="majorHAnsi" w:hAnsiTheme="majorHAnsi" w:cs="Times New Roman"/>
          <w:color w:val="000000" w:themeColor="text1"/>
          <w:szCs w:val="32"/>
        </w:rPr>
      </w:pPr>
      <w:r w:rsidRPr="007279B3">
        <w:rPr>
          <w:rFonts w:asciiTheme="majorHAnsi" w:hAnsiTheme="majorHAnsi" w:cs="Arial"/>
          <w:color w:val="000000" w:themeColor="text1"/>
          <w:szCs w:val="26"/>
        </w:rPr>
        <w:t xml:space="preserve">John M. Burman, </w:t>
      </w:r>
      <w:r w:rsidRPr="007279B3">
        <w:rPr>
          <w:rFonts w:asciiTheme="majorHAnsi" w:hAnsiTheme="majorHAnsi" w:cs="Times New Roman"/>
          <w:color w:val="000000" w:themeColor="text1"/>
          <w:szCs w:val="32"/>
        </w:rPr>
        <w:t xml:space="preserve">“Ethical and Legal Implications of Domestic Violence on Practicing Law,” </w:t>
      </w:r>
      <w:r w:rsidRPr="007279B3">
        <w:rPr>
          <w:rFonts w:asciiTheme="majorHAnsi" w:hAnsiTheme="majorHAnsi" w:cs="Arial"/>
          <w:color w:val="000000" w:themeColor="text1"/>
          <w:szCs w:val="26"/>
        </w:rPr>
        <w:t xml:space="preserve">The Impact of Domestic Violence on Your Legal Practice, ABA, 2d ed, </w:t>
      </w:r>
      <w:r w:rsidRPr="007279B3">
        <w:rPr>
          <w:rFonts w:asciiTheme="majorHAnsi" w:hAnsiTheme="majorHAnsi" w:cs="Times New Roman"/>
          <w:color w:val="000000" w:themeColor="text1"/>
          <w:szCs w:val="32"/>
        </w:rPr>
        <w:t>pages 8-13 (2004) (bspace)</w:t>
      </w:r>
    </w:p>
    <w:p w14:paraId="1055AAD7" w14:textId="77777777" w:rsidR="00294FEB" w:rsidRPr="007279B3" w:rsidRDefault="00294FEB" w:rsidP="00294FEB">
      <w:pPr>
        <w:rPr>
          <w:rFonts w:asciiTheme="majorHAnsi" w:hAnsiTheme="majorHAnsi"/>
          <w:color w:val="000000" w:themeColor="text1"/>
        </w:rPr>
      </w:pPr>
    </w:p>
    <w:p w14:paraId="4187AB2F"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 Forming the Attorney/client relationship – who is the client?</w:t>
      </w:r>
    </w:p>
    <w:p w14:paraId="0CBF02F1"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 xml:space="preserve">Does this depend on who is paying the bills? </w:t>
      </w:r>
    </w:p>
    <w:p w14:paraId="16E09B5D"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 xml:space="preserve">Conflicts of interest and confidentiality </w:t>
      </w:r>
    </w:p>
    <w:p w14:paraId="41B50106" w14:textId="77777777" w:rsidR="00294FEB" w:rsidRPr="007279B3" w:rsidRDefault="00294FEB" w:rsidP="00294FEB">
      <w:pPr>
        <w:rPr>
          <w:rFonts w:asciiTheme="majorHAnsi" w:hAnsiTheme="majorHAnsi"/>
          <w:color w:val="000000" w:themeColor="text1"/>
        </w:rPr>
      </w:pPr>
    </w:p>
    <w:p w14:paraId="57F50C89"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Model Rule on conflict of interest: 1.7(a), Ca rule 3-310 (read online)</w:t>
      </w:r>
    </w:p>
    <w:p w14:paraId="6EEEB6F0" w14:textId="77777777" w:rsidR="00294FEB" w:rsidRPr="007279B3" w:rsidRDefault="00294FEB" w:rsidP="00294FEB">
      <w:pPr>
        <w:rPr>
          <w:rFonts w:asciiTheme="majorHAnsi" w:hAnsiTheme="majorHAnsi"/>
          <w:color w:val="000000" w:themeColor="text1"/>
        </w:rPr>
      </w:pPr>
    </w:p>
    <w:p w14:paraId="56ED06DA" w14:textId="6B00CC51" w:rsidR="00294FEB" w:rsidRPr="007279B3" w:rsidRDefault="00294FEB" w:rsidP="00294FEB">
      <w:pPr>
        <w:rPr>
          <w:rFonts w:asciiTheme="majorHAnsi" w:hAnsiTheme="majorHAnsi"/>
          <w:color w:val="000000" w:themeColor="text1"/>
        </w:rPr>
      </w:pPr>
      <w:r w:rsidRPr="007279B3">
        <w:rPr>
          <w:rFonts w:asciiTheme="majorHAnsi" w:hAnsiTheme="majorHAnsi" w:cs="Arial"/>
          <w:i/>
          <w:color w:val="000000" w:themeColor="text1"/>
          <w:szCs w:val="26"/>
        </w:rPr>
        <w:t>Roberts v. Healey</w:t>
      </w:r>
      <w:r w:rsidRPr="007279B3">
        <w:rPr>
          <w:rFonts w:asciiTheme="majorHAnsi" w:hAnsiTheme="majorHAnsi" w:cs="Arial"/>
          <w:color w:val="000000" w:themeColor="text1"/>
          <w:szCs w:val="26"/>
        </w:rPr>
        <w:t xml:space="preserve">, 991 SW2d 873 (TX App 1999) </w:t>
      </w:r>
      <w:r w:rsidR="00DA79E8" w:rsidRPr="007279B3">
        <w:rPr>
          <w:rFonts w:asciiTheme="majorHAnsi" w:hAnsiTheme="majorHAnsi" w:cs="Arial"/>
          <w:color w:val="000000" w:themeColor="text1"/>
          <w:szCs w:val="26"/>
        </w:rPr>
        <w:t xml:space="preserve">– section </w:t>
      </w:r>
      <w:r w:rsidR="00DE1E17" w:rsidRPr="007279B3">
        <w:rPr>
          <w:rFonts w:asciiTheme="majorHAnsi" w:hAnsiTheme="majorHAnsi" w:cs="Arial"/>
          <w:color w:val="000000" w:themeColor="text1"/>
          <w:szCs w:val="26"/>
        </w:rPr>
        <w:t>on Attorney/Client R</w:t>
      </w:r>
      <w:r w:rsidR="00DA79E8" w:rsidRPr="007279B3">
        <w:rPr>
          <w:rFonts w:asciiTheme="majorHAnsi" w:hAnsiTheme="majorHAnsi" w:cs="Arial"/>
          <w:color w:val="000000" w:themeColor="text1"/>
          <w:szCs w:val="26"/>
        </w:rPr>
        <w:t>elationship</w:t>
      </w:r>
    </w:p>
    <w:p w14:paraId="5E2CC82A" w14:textId="77777777" w:rsidR="00294FEB" w:rsidRPr="007279B3" w:rsidRDefault="00294FEB" w:rsidP="00294FEB">
      <w:pPr>
        <w:rPr>
          <w:rFonts w:asciiTheme="majorHAnsi" w:hAnsiTheme="majorHAnsi"/>
          <w:color w:val="000000" w:themeColor="text1"/>
        </w:rPr>
      </w:pPr>
    </w:p>
    <w:p w14:paraId="7707CD78"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 Being asked to represent multiple parties  - e.g. estate planning</w:t>
      </w:r>
    </w:p>
    <w:p w14:paraId="0162691D"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Need to screen each party separately for domestic violence, if this is found, decline representation without telling other party, assist victim with safety planning or refer him/her to someone for this</w:t>
      </w:r>
    </w:p>
    <w:p w14:paraId="37671C08" w14:textId="77777777" w:rsidR="00294FEB" w:rsidRPr="007279B3" w:rsidRDefault="00294FEB" w:rsidP="00294FEB">
      <w:pPr>
        <w:rPr>
          <w:rFonts w:asciiTheme="majorHAnsi" w:hAnsiTheme="majorHAnsi"/>
          <w:color w:val="000000" w:themeColor="text1"/>
        </w:rPr>
      </w:pPr>
    </w:p>
    <w:p w14:paraId="09AB35FA" w14:textId="22D81FBF"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Model Rule on conflict of interest: 1.7(a) (online)</w:t>
      </w:r>
      <w:r w:rsidR="003D7A27" w:rsidRPr="007279B3">
        <w:rPr>
          <w:rFonts w:asciiTheme="majorHAnsi" w:hAnsiTheme="majorHAnsi"/>
          <w:color w:val="000000" w:themeColor="text1"/>
        </w:rPr>
        <w:t xml:space="preserve"> and 5.3(c) (third party paying client’s bill)</w:t>
      </w:r>
    </w:p>
    <w:p w14:paraId="08427950" w14:textId="77777777" w:rsidR="00294FEB" w:rsidRPr="007279B3" w:rsidRDefault="00294FEB" w:rsidP="00294FEB">
      <w:pPr>
        <w:rPr>
          <w:rFonts w:asciiTheme="majorHAnsi" w:hAnsiTheme="majorHAnsi"/>
          <w:color w:val="000000" w:themeColor="text1"/>
        </w:rPr>
      </w:pPr>
    </w:p>
    <w:p w14:paraId="79349C18" w14:textId="77777777" w:rsidR="00294FEB" w:rsidRPr="007279B3" w:rsidRDefault="00294FEB" w:rsidP="00294FEB">
      <w:pPr>
        <w:rPr>
          <w:rFonts w:asciiTheme="majorHAnsi" w:hAnsiTheme="majorHAnsi"/>
          <w:color w:val="000000" w:themeColor="text1"/>
        </w:rPr>
      </w:pPr>
      <w:r w:rsidRPr="007279B3">
        <w:rPr>
          <w:rFonts w:asciiTheme="majorHAnsi" w:hAnsiTheme="majorHAnsi" w:cs="Times New Roman"/>
          <w:color w:val="000000" w:themeColor="text1"/>
          <w:szCs w:val="20"/>
        </w:rPr>
        <w:t xml:space="preserve">John M. Burman, </w:t>
      </w:r>
      <w:r w:rsidRPr="007279B3">
        <w:rPr>
          <w:rFonts w:asciiTheme="majorHAnsi" w:hAnsiTheme="majorHAnsi" w:cs="Times New Roman"/>
          <w:iCs/>
          <w:color w:val="000000" w:themeColor="text1"/>
          <w:szCs w:val="20"/>
        </w:rPr>
        <w:t>Lawyers and Domestic Violence: Raising the Standard of Practice</w:t>
      </w:r>
      <w:r w:rsidRPr="007279B3">
        <w:rPr>
          <w:rFonts w:asciiTheme="majorHAnsi" w:hAnsiTheme="majorHAnsi" w:cs="Times New Roman"/>
          <w:color w:val="000000" w:themeColor="text1"/>
          <w:szCs w:val="20"/>
        </w:rPr>
        <w:t xml:space="preserve">, 9 Mich. J. Gender </w:t>
      </w:r>
      <w:r w:rsidR="00DA79E8" w:rsidRPr="007279B3">
        <w:rPr>
          <w:rFonts w:asciiTheme="majorHAnsi" w:hAnsiTheme="majorHAnsi" w:cs="Times New Roman"/>
          <w:color w:val="000000" w:themeColor="text1"/>
          <w:szCs w:val="20"/>
        </w:rPr>
        <w:t>&amp; L. 207 (2003) – Section IV, A. and B., Screening, pp 234-238.</w:t>
      </w:r>
    </w:p>
    <w:p w14:paraId="72554119" w14:textId="77777777" w:rsidR="00294FEB" w:rsidRPr="007279B3" w:rsidRDefault="00294FEB" w:rsidP="00294FEB">
      <w:pPr>
        <w:rPr>
          <w:rFonts w:asciiTheme="majorHAnsi" w:hAnsiTheme="majorHAnsi"/>
          <w:color w:val="000000" w:themeColor="text1"/>
        </w:rPr>
      </w:pPr>
    </w:p>
    <w:p w14:paraId="4BAF4A00"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 Considering client’s financial situation in determining amount &amp; structure of fee agreement – special implications in domestic violence cases</w:t>
      </w:r>
    </w:p>
    <w:p w14:paraId="1EB6CDD3" w14:textId="77777777" w:rsidR="00294FEB" w:rsidRPr="007279B3" w:rsidRDefault="00294FEB" w:rsidP="00294FEB">
      <w:pPr>
        <w:rPr>
          <w:rFonts w:asciiTheme="majorHAnsi" w:hAnsiTheme="majorHAnsi"/>
          <w:color w:val="000000" w:themeColor="text1"/>
        </w:rPr>
      </w:pPr>
    </w:p>
    <w:p w14:paraId="6602D9BD"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Model Rule 1.5 (duty to discuss fees with clients) (read online)</w:t>
      </w:r>
    </w:p>
    <w:p w14:paraId="16680972"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Ca. Rule 4-200 (no unconscionable or illegal fees) (read online)</w:t>
      </w:r>
    </w:p>
    <w:p w14:paraId="303F0F77" w14:textId="77777777" w:rsidR="00294FEB" w:rsidRPr="007279B3" w:rsidRDefault="00294FEB" w:rsidP="00294FEB">
      <w:pPr>
        <w:rPr>
          <w:rFonts w:asciiTheme="majorHAnsi" w:hAnsiTheme="majorHAnsi"/>
          <w:color w:val="000000" w:themeColor="text1"/>
        </w:rPr>
      </w:pPr>
    </w:p>
    <w:p w14:paraId="7E4112C8"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Burman, supra (2004)</w:t>
      </w:r>
    </w:p>
    <w:p w14:paraId="217A7898" w14:textId="77777777" w:rsidR="00294FEB" w:rsidRPr="007279B3" w:rsidRDefault="00294FEB" w:rsidP="00294FEB">
      <w:pPr>
        <w:rPr>
          <w:rFonts w:asciiTheme="majorHAnsi" w:hAnsiTheme="majorHAnsi"/>
          <w:color w:val="000000" w:themeColor="text1"/>
        </w:rPr>
      </w:pPr>
    </w:p>
    <w:p w14:paraId="72713575" w14:textId="77777777" w:rsidR="00294FEB" w:rsidRPr="007279B3" w:rsidRDefault="00294FEB" w:rsidP="00294FEB">
      <w:pPr>
        <w:rPr>
          <w:rFonts w:asciiTheme="majorHAnsi" w:hAnsiTheme="majorHAnsi"/>
          <w:b/>
          <w:i/>
          <w:color w:val="000000" w:themeColor="text1"/>
        </w:rPr>
      </w:pPr>
      <w:r w:rsidRPr="007279B3">
        <w:rPr>
          <w:rFonts w:asciiTheme="majorHAnsi" w:hAnsiTheme="majorHAnsi"/>
          <w:b/>
          <w:i/>
          <w:color w:val="000000" w:themeColor="text1"/>
        </w:rPr>
        <w:t>Week 3</w:t>
      </w:r>
    </w:p>
    <w:p w14:paraId="7C1CCC53" w14:textId="77777777" w:rsidR="00294FEB" w:rsidRPr="007279B3" w:rsidRDefault="00294FEB" w:rsidP="00294FEB">
      <w:pPr>
        <w:rPr>
          <w:rFonts w:asciiTheme="majorHAnsi" w:hAnsiTheme="majorHAnsi"/>
          <w:i/>
          <w:color w:val="000000" w:themeColor="text1"/>
        </w:rPr>
      </w:pPr>
    </w:p>
    <w:p w14:paraId="77D7920C" w14:textId="77777777" w:rsidR="00294FEB" w:rsidRPr="007279B3" w:rsidRDefault="00294FEB" w:rsidP="00294FEB">
      <w:pPr>
        <w:rPr>
          <w:rFonts w:asciiTheme="majorHAnsi" w:hAnsiTheme="majorHAnsi"/>
          <w:color w:val="000000" w:themeColor="text1"/>
        </w:rPr>
      </w:pPr>
      <w:r w:rsidRPr="007279B3">
        <w:rPr>
          <w:rFonts w:asciiTheme="majorHAnsi" w:hAnsiTheme="majorHAnsi"/>
        </w:rPr>
        <w:t>Lemon, Manual on Domestic Violence, Chapter 2, Criminal Law (bspace)</w:t>
      </w:r>
    </w:p>
    <w:p w14:paraId="240AC6FB" w14:textId="77777777" w:rsidR="00294FEB" w:rsidRPr="007279B3" w:rsidRDefault="00294FEB" w:rsidP="00294FEB">
      <w:pPr>
        <w:rPr>
          <w:rFonts w:asciiTheme="majorHAnsi" w:hAnsiTheme="majorHAnsi"/>
          <w:i/>
          <w:color w:val="000000" w:themeColor="text1"/>
        </w:rPr>
      </w:pPr>
    </w:p>
    <w:p w14:paraId="4C803EF5"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Hypothetical Problem based on one of the examples in the Drew article</w:t>
      </w:r>
    </w:p>
    <w:p w14:paraId="6EFC2A8C" w14:textId="77777777" w:rsidR="00294FEB" w:rsidRPr="007279B3" w:rsidRDefault="00294FEB" w:rsidP="00294FEB">
      <w:pPr>
        <w:rPr>
          <w:rFonts w:asciiTheme="majorHAnsi" w:hAnsiTheme="majorHAnsi"/>
          <w:color w:val="000000" w:themeColor="text1"/>
        </w:rPr>
      </w:pPr>
    </w:p>
    <w:p w14:paraId="5AF92C20" w14:textId="77777777" w:rsidR="00294FEB" w:rsidRPr="007279B3" w:rsidRDefault="00294FEB" w:rsidP="00294FEB">
      <w:pPr>
        <w:rPr>
          <w:rFonts w:asciiTheme="majorHAnsi" w:hAnsiTheme="majorHAnsi" w:cs="Times New Roman"/>
          <w:color w:val="000000" w:themeColor="text1"/>
          <w:szCs w:val="30"/>
        </w:rPr>
      </w:pPr>
      <w:r w:rsidRPr="007279B3">
        <w:rPr>
          <w:rFonts w:asciiTheme="majorHAnsi" w:hAnsiTheme="majorHAnsi" w:cs="Times New Roman"/>
          <w:color w:val="000000" w:themeColor="text1"/>
          <w:szCs w:val="30"/>
        </w:rPr>
        <w:t>• Competence</w:t>
      </w:r>
    </w:p>
    <w:p w14:paraId="241EBDCA" w14:textId="77777777" w:rsidR="00294FEB" w:rsidRPr="007279B3" w:rsidRDefault="00294FEB" w:rsidP="00294FEB">
      <w:pPr>
        <w:rPr>
          <w:rFonts w:asciiTheme="majorHAnsi" w:hAnsiTheme="majorHAnsi" w:cs="Times New Roman"/>
          <w:color w:val="000000" w:themeColor="text1"/>
          <w:szCs w:val="30"/>
        </w:rPr>
      </w:pPr>
    </w:p>
    <w:p w14:paraId="4A63B304" w14:textId="77777777" w:rsidR="00294FEB" w:rsidRPr="007279B3" w:rsidRDefault="00294FEB" w:rsidP="00294FEB">
      <w:pPr>
        <w:rPr>
          <w:rFonts w:asciiTheme="majorHAnsi" w:hAnsiTheme="majorHAnsi" w:cs="Times New Roman"/>
          <w:color w:val="000000" w:themeColor="text1"/>
          <w:szCs w:val="30"/>
        </w:rPr>
      </w:pPr>
      <w:r w:rsidRPr="007279B3">
        <w:rPr>
          <w:rFonts w:asciiTheme="majorHAnsi" w:hAnsiTheme="majorHAnsi" w:cs="Times New Roman"/>
          <w:color w:val="000000" w:themeColor="text1"/>
          <w:szCs w:val="30"/>
        </w:rPr>
        <w:t xml:space="preserve">Thoroughness and preparation, </w:t>
      </w:r>
    </w:p>
    <w:p w14:paraId="6DD788FA" w14:textId="77777777" w:rsidR="00294FEB" w:rsidRPr="007279B3" w:rsidRDefault="00294FEB" w:rsidP="00294FEB">
      <w:pPr>
        <w:rPr>
          <w:rFonts w:asciiTheme="majorHAnsi" w:hAnsiTheme="majorHAnsi" w:cs="Times New Roman"/>
          <w:color w:val="000000" w:themeColor="text1"/>
          <w:szCs w:val="30"/>
        </w:rPr>
      </w:pPr>
      <w:r w:rsidRPr="007279B3">
        <w:rPr>
          <w:rFonts w:asciiTheme="majorHAnsi" w:hAnsiTheme="majorHAnsi" w:cs="Times New Roman"/>
          <w:color w:val="000000" w:themeColor="text1"/>
          <w:szCs w:val="30"/>
        </w:rPr>
        <w:t xml:space="preserve">issue spotting, </w:t>
      </w:r>
    </w:p>
    <w:p w14:paraId="00AEC793" w14:textId="77777777" w:rsidR="00294FEB" w:rsidRPr="007279B3" w:rsidRDefault="00294FEB" w:rsidP="00294FEB">
      <w:pPr>
        <w:rPr>
          <w:rFonts w:asciiTheme="majorHAnsi" w:hAnsiTheme="majorHAnsi" w:cs="Times New Roman"/>
          <w:color w:val="000000" w:themeColor="text1"/>
          <w:szCs w:val="30"/>
        </w:rPr>
      </w:pPr>
      <w:r w:rsidRPr="007279B3">
        <w:rPr>
          <w:rFonts w:asciiTheme="majorHAnsi" w:hAnsiTheme="majorHAnsi" w:cs="Times New Roman"/>
          <w:color w:val="000000" w:themeColor="text1"/>
          <w:szCs w:val="30"/>
        </w:rPr>
        <w:t xml:space="preserve">specialists held to higher standard, </w:t>
      </w:r>
    </w:p>
    <w:p w14:paraId="4C2B037B" w14:textId="77777777" w:rsidR="00294FEB" w:rsidRPr="007279B3" w:rsidRDefault="00294FEB" w:rsidP="00294FEB">
      <w:pPr>
        <w:rPr>
          <w:rFonts w:asciiTheme="majorHAnsi" w:hAnsiTheme="majorHAnsi" w:cs="Times New Roman"/>
          <w:color w:val="000000" w:themeColor="text1"/>
          <w:szCs w:val="30"/>
        </w:rPr>
      </w:pPr>
      <w:r w:rsidRPr="007279B3">
        <w:rPr>
          <w:rFonts w:asciiTheme="majorHAnsi" w:hAnsiTheme="majorHAnsi" w:cs="Times New Roman"/>
          <w:color w:val="000000" w:themeColor="text1"/>
          <w:szCs w:val="30"/>
        </w:rPr>
        <w:t>reluctance to bring up DV with clients for various reasons,</w:t>
      </w:r>
    </w:p>
    <w:p w14:paraId="29315E8D" w14:textId="77777777" w:rsidR="00294FEB" w:rsidRPr="007279B3" w:rsidRDefault="00294FEB" w:rsidP="00294FEB">
      <w:pPr>
        <w:rPr>
          <w:rFonts w:asciiTheme="majorHAnsi" w:hAnsiTheme="majorHAnsi" w:cs="Times New Roman"/>
          <w:color w:val="000000" w:themeColor="text1"/>
          <w:szCs w:val="30"/>
        </w:rPr>
      </w:pPr>
      <w:r w:rsidRPr="007279B3">
        <w:rPr>
          <w:rFonts w:asciiTheme="majorHAnsi" w:hAnsiTheme="majorHAnsi" w:cs="Times New Roman"/>
          <w:color w:val="000000" w:themeColor="text1"/>
          <w:szCs w:val="30"/>
        </w:rPr>
        <w:t>need to learn how to screen for DV,</w:t>
      </w:r>
    </w:p>
    <w:p w14:paraId="6605167F"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 xml:space="preserve">failure to address TRO violations, to preserve divorce client’s right to sue in tort, to ask for spousal support, to advise client of possible criminal case, to tell client of applicable statute of limitation, to seek attorneys’ fees so client has to pay herself, to argue validity of prenuptial agreement, </w:t>
      </w:r>
    </w:p>
    <w:p w14:paraId="6C3CE6B8"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 xml:space="preserve">placing client in harm’s way (e.g., via mediation), </w:t>
      </w:r>
    </w:p>
    <w:p w14:paraId="776BFFDA"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failure to advise re grounds for appeal</w:t>
      </w:r>
    </w:p>
    <w:p w14:paraId="05433454" w14:textId="77777777" w:rsidR="00294FEB" w:rsidRPr="007279B3" w:rsidRDefault="00294FEB" w:rsidP="00294FEB">
      <w:pPr>
        <w:rPr>
          <w:rFonts w:asciiTheme="majorHAnsi" w:hAnsiTheme="majorHAnsi"/>
          <w:color w:val="000000" w:themeColor="text1"/>
        </w:rPr>
      </w:pPr>
    </w:p>
    <w:p w14:paraId="7E3B1DCE"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Model rule 1.1, Ca. rule 3-110 (online)</w:t>
      </w:r>
    </w:p>
    <w:p w14:paraId="3CF356E1" w14:textId="77777777" w:rsidR="00294FEB" w:rsidRPr="007279B3" w:rsidRDefault="00294FEB" w:rsidP="00294FEB">
      <w:pPr>
        <w:rPr>
          <w:rFonts w:asciiTheme="majorHAnsi" w:hAnsiTheme="majorHAnsi"/>
          <w:color w:val="000000" w:themeColor="text1"/>
        </w:rPr>
      </w:pPr>
    </w:p>
    <w:p w14:paraId="5E58D712" w14:textId="77777777" w:rsidR="00294FEB" w:rsidRPr="007279B3" w:rsidRDefault="00294FEB" w:rsidP="00294FEB">
      <w:pPr>
        <w:rPr>
          <w:rFonts w:asciiTheme="majorHAnsi" w:hAnsiTheme="majorHAnsi"/>
          <w:color w:val="000000" w:themeColor="text1"/>
        </w:rPr>
      </w:pPr>
      <w:r w:rsidRPr="007279B3">
        <w:rPr>
          <w:rFonts w:asciiTheme="majorHAnsi" w:hAnsiTheme="majorHAnsi" w:cs="Helvetica"/>
          <w:color w:val="000000" w:themeColor="text1"/>
        </w:rPr>
        <w:t>Margaret Drew, Lawyer Malpractice and Domestic Violence: Are we Revictimizing Our Clients?, 39 Family Law Quarterly 7 (2005)</w:t>
      </w:r>
    </w:p>
    <w:p w14:paraId="113FA582" w14:textId="77777777" w:rsidR="00294FEB" w:rsidRPr="007279B3" w:rsidRDefault="00294FEB" w:rsidP="00294FEB">
      <w:pPr>
        <w:rPr>
          <w:rFonts w:asciiTheme="majorHAnsi" w:hAnsiTheme="majorHAnsi"/>
          <w:color w:val="000000" w:themeColor="text1"/>
        </w:rPr>
      </w:pPr>
    </w:p>
    <w:p w14:paraId="51BD2924" w14:textId="580876CB" w:rsidR="00294FEB" w:rsidRPr="007279B3" w:rsidRDefault="00294FEB" w:rsidP="00294FEB">
      <w:pPr>
        <w:rPr>
          <w:rFonts w:asciiTheme="majorHAnsi" w:hAnsiTheme="majorHAnsi" w:cs="Times New Roman"/>
          <w:color w:val="000000" w:themeColor="text1"/>
          <w:szCs w:val="22"/>
        </w:rPr>
      </w:pPr>
      <w:r w:rsidRPr="007279B3">
        <w:rPr>
          <w:rFonts w:asciiTheme="majorHAnsi" w:hAnsiTheme="majorHAnsi" w:cs="Times New Roman"/>
          <w:color w:val="000000" w:themeColor="text1"/>
          <w:szCs w:val="22"/>
        </w:rPr>
        <w:t>Comprehensive Issue Spotting: A Tool for Civil Attorneys Representing Victims of Domestic and Dating Violence, Sexual Assault &amp; Stalking, ABA (2008)</w:t>
      </w:r>
      <w:r w:rsidR="00507118" w:rsidRPr="007279B3">
        <w:rPr>
          <w:rFonts w:asciiTheme="majorHAnsi" w:hAnsiTheme="majorHAnsi" w:cs="Times New Roman"/>
          <w:color w:val="000000" w:themeColor="text1"/>
          <w:szCs w:val="22"/>
        </w:rPr>
        <w:t xml:space="preserve"> – just skim, do not try to fill in the blanks</w:t>
      </w:r>
    </w:p>
    <w:p w14:paraId="60E03DC4" w14:textId="77777777" w:rsidR="00294FEB" w:rsidRPr="007279B3" w:rsidRDefault="00294FEB" w:rsidP="00294FEB">
      <w:pPr>
        <w:rPr>
          <w:rFonts w:asciiTheme="majorHAnsi" w:hAnsiTheme="majorHAnsi" w:cs="Times New Roman"/>
          <w:color w:val="000000" w:themeColor="text1"/>
          <w:szCs w:val="22"/>
        </w:rPr>
      </w:pPr>
    </w:p>
    <w:p w14:paraId="15AE736E" w14:textId="77777777" w:rsidR="00294FEB" w:rsidRPr="007279B3" w:rsidRDefault="00294FEB" w:rsidP="00294FEB">
      <w:pPr>
        <w:rPr>
          <w:rFonts w:asciiTheme="majorHAnsi" w:hAnsiTheme="majorHAnsi" w:cs="Times New Roman"/>
          <w:color w:val="000000" w:themeColor="text1"/>
          <w:szCs w:val="32"/>
        </w:rPr>
      </w:pPr>
      <w:r w:rsidRPr="007279B3">
        <w:rPr>
          <w:rFonts w:asciiTheme="majorHAnsi" w:hAnsiTheme="majorHAnsi"/>
          <w:color w:val="000000" w:themeColor="text1"/>
        </w:rPr>
        <w:t xml:space="preserve">Roberta Valente, “Screening Guidelines,” The Impact of Domestic Violence on Your Legal Practice, ABA, 2d ed, pages 51-57 </w:t>
      </w:r>
      <w:r w:rsidRPr="007279B3">
        <w:rPr>
          <w:rFonts w:asciiTheme="majorHAnsi" w:hAnsiTheme="majorHAnsi" w:cs="Times New Roman"/>
          <w:color w:val="000000" w:themeColor="text1"/>
          <w:szCs w:val="32"/>
        </w:rPr>
        <w:t>(2004)(bspace)</w:t>
      </w:r>
    </w:p>
    <w:p w14:paraId="608EF3AA" w14:textId="77777777" w:rsidR="00294FEB" w:rsidRPr="007279B3" w:rsidRDefault="00294FEB" w:rsidP="00294FEB">
      <w:pPr>
        <w:rPr>
          <w:rFonts w:asciiTheme="majorHAnsi" w:hAnsiTheme="majorHAnsi"/>
          <w:color w:val="000000" w:themeColor="text1"/>
        </w:rPr>
      </w:pPr>
    </w:p>
    <w:p w14:paraId="67269D24" w14:textId="77777777" w:rsidR="00294FEB" w:rsidRPr="007279B3" w:rsidRDefault="00294FEB" w:rsidP="00294FEB">
      <w:pPr>
        <w:rPr>
          <w:rFonts w:asciiTheme="majorHAnsi" w:hAnsiTheme="majorHAnsi"/>
          <w:b/>
          <w:i/>
          <w:color w:val="000000" w:themeColor="text1"/>
        </w:rPr>
      </w:pPr>
      <w:r w:rsidRPr="007279B3">
        <w:rPr>
          <w:rFonts w:asciiTheme="majorHAnsi" w:hAnsiTheme="majorHAnsi"/>
          <w:b/>
          <w:i/>
          <w:color w:val="000000" w:themeColor="text1"/>
        </w:rPr>
        <w:t>Week 4</w:t>
      </w:r>
    </w:p>
    <w:p w14:paraId="4F676CDB" w14:textId="77777777" w:rsidR="00294FEB" w:rsidRPr="007279B3" w:rsidRDefault="00294FEB" w:rsidP="00294FEB">
      <w:pPr>
        <w:rPr>
          <w:rFonts w:asciiTheme="majorHAnsi" w:hAnsiTheme="majorHAnsi"/>
          <w:i/>
          <w:color w:val="000000" w:themeColor="text1"/>
        </w:rPr>
      </w:pPr>
    </w:p>
    <w:p w14:paraId="4DC7F449" w14:textId="77777777" w:rsidR="00294FEB" w:rsidRPr="007279B3" w:rsidRDefault="00294FEB" w:rsidP="00294FEB">
      <w:pPr>
        <w:rPr>
          <w:rFonts w:asciiTheme="majorHAnsi" w:hAnsiTheme="majorHAnsi"/>
        </w:rPr>
      </w:pPr>
      <w:r w:rsidRPr="007279B3">
        <w:rPr>
          <w:rFonts w:asciiTheme="majorHAnsi" w:hAnsiTheme="majorHAnsi"/>
        </w:rPr>
        <w:t>Lemon, Manual on Domestic Violence, Chapter 3, Family Law (bspace)</w:t>
      </w:r>
    </w:p>
    <w:p w14:paraId="0AF36F7C" w14:textId="77777777" w:rsidR="00294FEB" w:rsidRPr="007279B3" w:rsidRDefault="00294FEB" w:rsidP="00294FEB">
      <w:pPr>
        <w:rPr>
          <w:rFonts w:asciiTheme="majorHAnsi" w:hAnsiTheme="majorHAnsi"/>
          <w:i/>
          <w:color w:val="000000" w:themeColor="text1"/>
        </w:rPr>
      </w:pPr>
    </w:p>
    <w:p w14:paraId="3808AF28"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 xml:space="preserve">Hypothetical Problem based on the other part of </w:t>
      </w:r>
      <w:r w:rsidRPr="007279B3">
        <w:rPr>
          <w:rFonts w:asciiTheme="majorHAnsi" w:hAnsiTheme="majorHAnsi"/>
          <w:i/>
          <w:color w:val="000000" w:themeColor="text1"/>
        </w:rPr>
        <w:t>Roberts v Healey</w:t>
      </w:r>
      <w:r w:rsidRPr="007279B3">
        <w:rPr>
          <w:rFonts w:asciiTheme="majorHAnsi" w:hAnsiTheme="majorHAnsi"/>
          <w:color w:val="000000" w:themeColor="text1"/>
        </w:rPr>
        <w:t xml:space="preserve"> case</w:t>
      </w:r>
    </w:p>
    <w:p w14:paraId="40345378" w14:textId="77777777" w:rsidR="00294FEB" w:rsidRPr="007279B3" w:rsidRDefault="00294FEB" w:rsidP="00294FEB">
      <w:pPr>
        <w:rPr>
          <w:rFonts w:asciiTheme="majorHAnsi" w:hAnsiTheme="majorHAnsi"/>
          <w:color w:val="000000" w:themeColor="text1"/>
        </w:rPr>
      </w:pPr>
    </w:p>
    <w:p w14:paraId="3272F671"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 Safety Planning and Risk Assessment with Clients</w:t>
      </w:r>
    </w:p>
    <w:p w14:paraId="7F650A57" w14:textId="77777777" w:rsidR="00294FEB" w:rsidRPr="007279B3" w:rsidRDefault="00294FEB" w:rsidP="00294FEB">
      <w:pPr>
        <w:rPr>
          <w:rFonts w:asciiTheme="majorHAnsi" w:hAnsiTheme="majorHAnsi"/>
          <w:color w:val="000000" w:themeColor="text1"/>
        </w:rPr>
      </w:pPr>
    </w:p>
    <w:p w14:paraId="624A9BC5"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 Client Protection, including possible negligence in not obtaining TRO (foreseeability that abuser would injure/kill victim)</w:t>
      </w:r>
    </w:p>
    <w:p w14:paraId="6346D19F" w14:textId="77777777" w:rsidR="00294FEB" w:rsidRPr="007279B3" w:rsidRDefault="00294FEB" w:rsidP="00294FEB">
      <w:pPr>
        <w:rPr>
          <w:rFonts w:asciiTheme="majorHAnsi" w:hAnsiTheme="majorHAnsi"/>
          <w:color w:val="000000" w:themeColor="text1"/>
        </w:rPr>
      </w:pPr>
    </w:p>
    <w:p w14:paraId="2EE4A0AC"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ABA Model rule 2.1 (rendering advice may include moral, economic, social, and political factors relevant to client’s situation)(online)</w:t>
      </w:r>
    </w:p>
    <w:p w14:paraId="13F4AD25" w14:textId="77777777" w:rsidR="00294FEB" w:rsidRPr="007279B3" w:rsidRDefault="00294FEB" w:rsidP="00294FEB">
      <w:pPr>
        <w:rPr>
          <w:rFonts w:asciiTheme="majorHAnsi" w:hAnsiTheme="majorHAnsi"/>
          <w:color w:val="000000" w:themeColor="text1"/>
        </w:rPr>
      </w:pPr>
    </w:p>
    <w:p w14:paraId="2CA322EF"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 xml:space="preserve">Burman 2003 (IV. C. and D. – pages 238-242) </w:t>
      </w:r>
    </w:p>
    <w:p w14:paraId="097FF109" w14:textId="77777777" w:rsidR="00294FEB" w:rsidRPr="007279B3" w:rsidRDefault="00294FEB" w:rsidP="00294FEB">
      <w:pPr>
        <w:rPr>
          <w:rFonts w:asciiTheme="majorHAnsi" w:hAnsiTheme="majorHAnsi"/>
          <w:color w:val="000000" w:themeColor="text1"/>
        </w:rPr>
      </w:pPr>
    </w:p>
    <w:p w14:paraId="0C4EA151" w14:textId="77777777" w:rsidR="00294FEB" w:rsidRPr="007279B3" w:rsidRDefault="00294FEB" w:rsidP="00294FEB">
      <w:pPr>
        <w:widowControl w:val="0"/>
        <w:autoSpaceDE w:val="0"/>
        <w:autoSpaceDN w:val="0"/>
        <w:adjustRightInd w:val="0"/>
        <w:ind w:right="-1440"/>
        <w:rPr>
          <w:rFonts w:asciiTheme="majorHAnsi" w:hAnsiTheme="majorHAnsi" w:cs="Times New Roman"/>
        </w:rPr>
      </w:pPr>
      <w:r w:rsidRPr="007279B3">
        <w:rPr>
          <w:rFonts w:asciiTheme="majorHAnsi" w:hAnsiTheme="majorHAnsi"/>
          <w:color w:val="000000" w:themeColor="text1"/>
        </w:rPr>
        <w:t xml:space="preserve">Dana Harrington Conner, </w:t>
      </w:r>
      <w:r w:rsidRPr="007279B3">
        <w:rPr>
          <w:rFonts w:asciiTheme="majorHAnsi" w:hAnsiTheme="majorHAnsi" w:cs="Times New Roman"/>
          <w:szCs w:val="20"/>
        </w:rPr>
        <w:t>To Protect Or To Serve: Confidentiality, Client Protection, And Domestic Violence, fall 2006 Temple Law Review 877</w:t>
      </w:r>
      <w:r w:rsidRPr="007279B3">
        <w:rPr>
          <w:rFonts w:asciiTheme="majorHAnsi" w:hAnsiTheme="majorHAnsi" w:cs="Times New Roman"/>
        </w:rPr>
        <w:t xml:space="preserve"> </w:t>
      </w:r>
      <w:r w:rsidRPr="007279B3">
        <w:rPr>
          <w:rFonts w:asciiTheme="majorHAnsi" w:hAnsiTheme="majorHAnsi"/>
          <w:color w:val="000000" w:themeColor="text1"/>
        </w:rPr>
        <w:t>(VII and X)</w:t>
      </w:r>
    </w:p>
    <w:p w14:paraId="3F8F58FF" w14:textId="77777777" w:rsidR="00294FEB" w:rsidRPr="007279B3" w:rsidRDefault="00294FEB" w:rsidP="00294FEB">
      <w:pPr>
        <w:rPr>
          <w:rFonts w:asciiTheme="majorHAnsi" w:hAnsiTheme="majorHAnsi"/>
          <w:color w:val="000000" w:themeColor="text1"/>
        </w:rPr>
      </w:pPr>
    </w:p>
    <w:p w14:paraId="79560DCB"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Donna Mathews &amp; Deborah Goelman, “Safety Planning,” The Impact of Domestic Violence on Your Legal Practice, ABA, 2d ed, pages 40-47 (2004)(bspace)</w:t>
      </w:r>
    </w:p>
    <w:p w14:paraId="755C18CF" w14:textId="77777777" w:rsidR="00294FEB" w:rsidRPr="007279B3" w:rsidRDefault="00294FEB" w:rsidP="00294FEB">
      <w:pPr>
        <w:rPr>
          <w:rFonts w:asciiTheme="majorHAnsi" w:hAnsiTheme="majorHAnsi"/>
          <w:color w:val="000000" w:themeColor="text1"/>
        </w:rPr>
      </w:pPr>
    </w:p>
    <w:p w14:paraId="6930A4F9"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Cindy Southworth, “Technology Safety Planning,” The Impact of Domestic Violence on Your Legal Practice, ABA, 2d ed, pages 48-50 (2004)(bspace)</w:t>
      </w:r>
    </w:p>
    <w:p w14:paraId="0A35D454" w14:textId="77777777" w:rsidR="00294FEB" w:rsidRPr="007279B3" w:rsidRDefault="00294FEB" w:rsidP="00294FEB">
      <w:pPr>
        <w:rPr>
          <w:rFonts w:asciiTheme="majorHAnsi" w:hAnsiTheme="majorHAnsi"/>
          <w:color w:val="000000" w:themeColor="text1"/>
        </w:rPr>
      </w:pPr>
    </w:p>
    <w:p w14:paraId="4E1F5542" w14:textId="77777777" w:rsidR="00294FEB" w:rsidRPr="007279B3" w:rsidRDefault="00294FEB" w:rsidP="00294FEB">
      <w:pPr>
        <w:rPr>
          <w:rFonts w:asciiTheme="majorHAnsi" w:hAnsiTheme="majorHAnsi" w:cs="Arial"/>
          <w:color w:val="000000" w:themeColor="text1"/>
          <w:szCs w:val="26"/>
        </w:rPr>
      </w:pPr>
      <w:r w:rsidRPr="007279B3">
        <w:rPr>
          <w:rFonts w:asciiTheme="majorHAnsi" w:hAnsiTheme="majorHAnsi" w:cs="Arial"/>
          <w:i/>
          <w:color w:val="000000" w:themeColor="text1"/>
          <w:szCs w:val="26"/>
        </w:rPr>
        <w:t>Roberts v. Healey</w:t>
      </w:r>
      <w:r w:rsidRPr="007279B3">
        <w:rPr>
          <w:rFonts w:asciiTheme="majorHAnsi" w:hAnsiTheme="majorHAnsi" w:cs="Arial"/>
          <w:color w:val="000000" w:themeColor="text1"/>
          <w:szCs w:val="26"/>
        </w:rPr>
        <w:t>, 991 SW2d 873 (TX App 1999) (Opinion, Facts, and Causation sections)</w:t>
      </w:r>
    </w:p>
    <w:p w14:paraId="2316AE67" w14:textId="77777777" w:rsidR="00294FEB" w:rsidRPr="007279B3" w:rsidRDefault="00294FEB" w:rsidP="00294FEB">
      <w:pPr>
        <w:rPr>
          <w:rFonts w:asciiTheme="majorHAnsi" w:hAnsiTheme="majorHAnsi" w:cs="Times New Roman"/>
          <w:color w:val="000000" w:themeColor="text1"/>
          <w:szCs w:val="20"/>
        </w:rPr>
      </w:pPr>
    </w:p>
    <w:p w14:paraId="382D6EB3" w14:textId="77777777" w:rsidR="00294FEB" w:rsidRPr="007279B3" w:rsidRDefault="00294FEB" w:rsidP="00294FEB">
      <w:pPr>
        <w:rPr>
          <w:rFonts w:asciiTheme="majorHAnsi" w:hAnsiTheme="majorHAnsi"/>
          <w:b/>
          <w:i/>
          <w:color w:val="000000" w:themeColor="text1"/>
        </w:rPr>
      </w:pPr>
      <w:r w:rsidRPr="007279B3">
        <w:rPr>
          <w:rFonts w:asciiTheme="majorHAnsi" w:hAnsiTheme="majorHAnsi"/>
          <w:b/>
          <w:i/>
          <w:color w:val="000000" w:themeColor="text1"/>
        </w:rPr>
        <w:t>Week 5</w:t>
      </w:r>
    </w:p>
    <w:p w14:paraId="41FC953B" w14:textId="77777777" w:rsidR="00294FEB" w:rsidRPr="007279B3" w:rsidRDefault="00294FEB" w:rsidP="00294FEB">
      <w:pPr>
        <w:rPr>
          <w:rFonts w:asciiTheme="majorHAnsi" w:hAnsiTheme="majorHAnsi"/>
          <w:i/>
          <w:color w:val="000000" w:themeColor="text1"/>
        </w:rPr>
      </w:pPr>
    </w:p>
    <w:p w14:paraId="11F5C7DC"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Lemon, Manual on Domestic Violence, chapter 4, Juvenile Court, Tort, Immigration, and Other Legal Issues (bspace)</w:t>
      </w:r>
    </w:p>
    <w:p w14:paraId="1D010B15" w14:textId="77777777" w:rsidR="00294FEB" w:rsidRPr="007279B3" w:rsidRDefault="00294FEB" w:rsidP="00294FEB">
      <w:pPr>
        <w:rPr>
          <w:rFonts w:asciiTheme="majorHAnsi" w:hAnsiTheme="majorHAnsi"/>
          <w:i/>
          <w:color w:val="000000" w:themeColor="text1"/>
        </w:rPr>
      </w:pPr>
    </w:p>
    <w:p w14:paraId="4C12D508"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Hypothetical Problem based on chapter 5 of Ca. Rules</w:t>
      </w:r>
    </w:p>
    <w:p w14:paraId="09837AC9" w14:textId="77777777" w:rsidR="00294FEB" w:rsidRPr="007279B3" w:rsidRDefault="00294FEB" w:rsidP="00294FEB">
      <w:pPr>
        <w:rPr>
          <w:rFonts w:asciiTheme="majorHAnsi" w:hAnsiTheme="majorHAnsi"/>
          <w:i/>
          <w:color w:val="000000" w:themeColor="text1"/>
        </w:rPr>
      </w:pPr>
    </w:p>
    <w:p w14:paraId="140A338F"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 Special Rules Regarding Prosecutors, Threats to Involve Them, Suppression of Evidence, etc.</w:t>
      </w:r>
    </w:p>
    <w:p w14:paraId="6668B3D0" w14:textId="77777777" w:rsidR="00294FEB" w:rsidRPr="007279B3" w:rsidRDefault="00294FEB" w:rsidP="00294FEB">
      <w:pPr>
        <w:rPr>
          <w:rFonts w:asciiTheme="majorHAnsi" w:hAnsiTheme="majorHAnsi"/>
          <w:color w:val="000000" w:themeColor="text1"/>
        </w:rPr>
      </w:pPr>
    </w:p>
    <w:p w14:paraId="59C71B9C"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Difference between speaking to a civil attorney and a prosecutor</w:t>
      </w:r>
    </w:p>
    <w:p w14:paraId="467B22D6"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 xml:space="preserve">Prosecutorial obligations </w:t>
      </w:r>
    </w:p>
    <w:p w14:paraId="7CF44C8C"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Threatening criminal, administrative, or disciplinary charges</w:t>
      </w:r>
    </w:p>
    <w:p w14:paraId="43298AC6"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Duty not to suppress evidence</w:t>
      </w:r>
    </w:p>
    <w:p w14:paraId="2BBDA7C5" w14:textId="77777777" w:rsidR="00294FEB" w:rsidRPr="007279B3" w:rsidRDefault="00294FEB" w:rsidP="00294FEB">
      <w:pPr>
        <w:rPr>
          <w:rFonts w:asciiTheme="majorHAnsi" w:hAnsiTheme="majorHAnsi"/>
          <w:i/>
          <w:color w:val="000000" w:themeColor="text1"/>
        </w:rPr>
      </w:pPr>
      <w:r w:rsidRPr="007279B3">
        <w:rPr>
          <w:rFonts w:asciiTheme="majorHAnsi" w:hAnsiTheme="majorHAnsi"/>
          <w:color w:val="000000" w:themeColor="text1"/>
        </w:rPr>
        <w:t>Interactions with prosecutors, judges, jurors</w:t>
      </w:r>
    </w:p>
    <w:p w14:paraId="25DA023D" w14:textId="77777777" w:rsidR="00294FEB" w:rsidRPr="007279B3" w:rsidRDefault="00294FEB" w:rsidP="00294FEB">
      <w:pPr>
        <w:rPr>
          <w:rFonts w:asciiTheme="majorHAnsi" w:hAnsiTheme="majorHAnsi"/>
          <w:i/>
          <w:color w:val="000000" w:themeColor="text1"/>
        </w:rPr>
      </w:pPr>
    </w:p>
    <w:p w14:paraId="3794B78D"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Ca. Rules 5-100 (threatening criminal, administrative, or disciplinary charges), 5-110 (prosecutor may not file criminal charges unsupported by probable cause), 5-220 (suppression of evidence), 5-300 (contact with officials), 5-310 (prohibited contact with witnesses), 5-320 (contact with jurors) (online)</w:t>
      </w:r>
    </w:p>
    <w:p w14:paraId="5F526A72"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 xml:space="preserve"> </w:t>
      </w:r>
    </w:p>
    <w:p w14:paraId="77CA8987" w14:textId="77777777" w:rsidR="00294FEB" w:rsidRPr="007279B3" w:rsidRDefault="00294FEB" w:rsidP="00294FEB">
      <w:pPr>
        <w:rPr>
          <w:rFonts w:asciiTheme="majorHAnsi" w:hAnsiTheme="majorHAnsi"/>
          <w:b/>
          <w:i/>
          <w:color w:val="000000" w:themeColor="text1"/>
        </w:rPr>
      </w:pPr>
      <w:r w:rsidRPr="007279B3">
        <w:rPr>
          <w:rFonts w:asciiTheme="majorHAnsi" w:hAnsiTheme="majorHAnsi"/>
          <w:b/>
          <w:i/>
          <w:color w:val="000000" w:themeColor="text1"/>
        </w:rPr>
        <w:t>Week 6</w:t>
      </w:r>
    </w:p>
    <w:p w14:paraId="300AF263" w14:textId="77777777" w:rsidR="00294FEB" w:rsidRPr="007279B3" w:rsidRDefault="00294FEB" w:rsidP="00294FEB">
      <w:pPr>
        <w:rPr>
          <w:rFonts w:asciiTheme="majorHAnsi" w:hAnsiTheme="majorHAnsi"/>
          <w:i/>
          <w:color w:val="000000" w:themeColor="text1"/>
        </w:rPr>
      </w:pPr>
    </w:p>
    <w:p w14:paraId="2F017AA3"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Lemon, Manual on Domestic Violence, Appendices: Power and Control Wheel, Resources, [skip Valente, Understanding Your Client: Screening Guidelines,] Safety Plan, Housing Issues, Unauthorized Practice of Law (bspace)</w:t>
      </w:r>
    </w:p>
    <w:p w14:paraId="66CA7B4E" w14:textId="77777777" w:rsidR="00294FEB" w:rsidRPr="007279B3" w:rsidRDefault="00294FEB" w:rsidP="00294FEB">
      <w:pPr>
        <w:rPr>
          <w:rFonts w:asciiTheme="majorHAnsi" w:hAnsiTheme="majorHAnsi"/>
          <w:i/>
          <w:color w:val="000000" w:themeColor="text1"/>
        </w:rPr>
      </w:pPr>
    </w:p>
    <w:p w14:paraId="00E9531B"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 xml:space="preserve">Hypothetical Problem </w:t>
      </w:r>
    </w:p>
    <w:p w14:paraId="1225D847" w14:textId="77777777" w:rsidR="00294FEB" w:rsidRPr="007279B3" w:rsidRDefault="00294FEB" w:rsidP="00294FEB">
      <w:pPr>
        <w:rPr>
          <w:rFonts w:asciiTheme="majorHAnsi" w:hAnsiTheme="majorHAnsi"/>
          <w:color w:val="000000" w:themeColor="text1"/>
        </w:rPr>
      </w:pPr>
    </w:p>
    <w:p w14:paraId="50E6C860"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 Diligence, Communication, Scope of representation</w:t>
      </w:r>
    </w:p>
    <w:p w14:paraId="40A1F323" w14:textId="77777777" w:rsidR="00294FEB" w:rsidRPr="007279B3" w:rsidRDefault="00294FEB" w:rsidP="00294FEB">
      <w:pPr>
        <w:rPr>
          <w:rFonts w:asciiTheme="majorHAnsi" w:hAnsiTheme="majorHAnsi"/>
          <w:color w:val="000000" w:themeColor="text1"/>
        </w:rPr>
      </w:pPr>
    </w:p>
    <w:p w14:paraId="1FF96939"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 xml:space="preserve">When time is of the essence – filing quickly to protect client, children </w:t>
      </w:r>
    </w:p>
    <w:p w14:paraId="3E466B93"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What if taking any legal action, or pursuing certain claims or actions will endanger the client (e.g. child support or filing for RO or mediation)?</w:t>
      </w:r>
    </w:p>
    <w:p w14:paraId="2E99C543" w14:textId="77777777" w:rsidR="00294FEB" w:rsidRPr="007279B3" w:rsidRDefault="00294FEB" w:rsidP="00294FEB">
      <w:pPr>
        <w:rPr>
          <w:rFonts w:asciiTheme="majorHAnsi" w:hAnsiTheme="majorHAnsi"/>
          <w:color w:val="000000" w:themeColor="text1"/>
        </w:rPr>
      </w:pPr>
    </w:p>
    <w:p w14:paraId="5C317387"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Model Rules 1.2 (a, b, and c) (scope of representation and allocation of authority), 1.3 (diligence), 1.4 (communication), 2.1 (candid advice to client), 3.2 (expediting litigation) (online)</w:t>
      </w:r>
    </w:p>
    <w:p w14:paraId="7029FA3A" w14:textId="77777777" w:rsidR="00294FEB" w:rsidRPr="007279B3" w:rsidRDefault="00294FEB" w:rsidP="00294FEB">
      <w:pPr>
        <w:rPr>
          <w:rFonts w:asciiTheme="majorHAnsi" w:hAnsiTheme="majorHAnsi"/>
          <w:color w:val="000000" w:themeColor="text1"/>
        </w:rPr>
      </w:pPr>
    </w:p>
    <w:p w14:paraId="15716A66"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Ca. Rule 3-500 (communication) (online)</w:t>
      </w:r>
    </w:p>
    <w:p w14:paraId="3B0B911D" w14:textId="77777777" w:rsidR="00294FEB" w:rsidRPr="007279B3" w:rsidRDefault="00294FEB" w:rsidP="00294FEB">
      <w:pPr>
        <w:rPr>
          <w:rFonts w:asciiTheme="majorHAnsi" w:hAnsiTheme="majorHAnsi"/>
          <w:color w:val="000000" w:themeColor="text1"/>
        </w:rPr>
      </w:pPr>
    </w:p>
    <w:p w14:paraId="45CAD901" w14:textId="77777777" w:rsidR="00294FEB" w:rsidRPr="007279B3" w:rsidRDefault="00294FEB" w:rsidP="00294FEB">
      <w:pPr>
        <w:widowControl w:val="0"/>
        <w:autoSpaceDE w:val="0"/>
        <w:autoSpaceDN w:val="0"/>
        <w:adjustRightInd w:val="0"/>
        <w:ind w:right="-1440"/>
        <w:rPr>
          <w:rFonts w:asciiTheme="majorHAnsi" w:hAnsiTheme="majorHAnsi" w:cs="Times New Roman"/>
        </w:rPr>
      </w:pPr>
      <w:r w:rsidRPr="007279B3">
        <w:rPr>
          <w:rFonts w:asciiTheme="majorHAnsi" w:hAnsiTheme="majorHAnsi"/>
          <w:color w:val="000000" w:themeColor="text1"/>
        </w:rPr>
        <w:t xml:space="preserve">Dana Harrington Conner, </w:t>
      </w:r>
      <w:r w:rsidRPr="007279B3">
        <w:rPr>
          <w:rFonts w:asciiTheme="majorHAnsi" w:hAnsiTheme="majorHAnsi" w:cs="Times New Roman"/>
          <w:szCs w:val="20"/>
        </w:rPr>
        <w:t>To Protect Or To Serve: Confidentiality, Client Protection, And Domestic Violence, fall 2006 Temple Law Review 877</w:t>
      </w:r>
      <w:r w:rsidRPr="007279B3">
        <w:rPr>
          <w:rFonts w:asciiTheme="majorHAnsi" w:hAnsiTheme="majorHAnsi" w:cs="Times New Roman"/>
        </w:rPr>
        <w:t xml:space="preserve"> </w:t>
      </w:r>
      <w:r w:rsidRPr="007279B3">
        <w:rPr>
          <w:rFonts w:asciiTheme="majorHAnsi" w:hAnsiTheme="majorHAnsi"/>
          <w:color w:val="000000" w:themeColor="text1"/>
        </w:rPr>
        <w:t>(section X again, pages 935-936)</w:t>
      </w:r>
    </w:p>
    <w:p w14:paraId="11F3E28B" w14:textId="77777777" w:rsidR="00294FEB" w:rsidRPr="007279B3" w:rsidRDefault="00294FEB" w:rsidP="00294FEB">
      <w:pPr>
        <w:rPr>
          <w:rFonts w:asciiTheme="majorHAnsi" w:hAnsiTheme="majorHAnsi"/>
          <w:color w:val="000000" w:themeColor="text1"/>
        </w:rPr>
      </w:pPr>
    </w:p>
    <w:p w14:paraId="5446A68B" w14:textId="77777777" w:rsidR="00294FEB" w:rsidRPr="007279B3" w:rsidRDefault="00294FEB" w:rsidP="00294FEB">
      <w:pPr>
        <w:rPr>
          <w:rFonts w:asciiTheme="majorHAnsi" w:hAnsiTheme="majorHAnsi"/>
          <w:b/>
          <w:i/>
          <w:color w:val="000000" w:themeColor="text1"/>
        </w:rPr>
      </w:pPr>
      <w:r w:rsidRPr="007279B3">
        <w:rPr>
          <w:rFonts w:asciiTheme="majorHAnsi" w:hAnsiTheme="majorHAnsi"/>
          <w:b/>
          <w:i/>
          <w:color w:val="000000" w:themeColor="text1"/>
        </w:rPr>
        <w:t>Week 7</w:t>
      </w:r>
    </w:p>
    <w:p w14:paraId="356FF73E" w14:textId="77777777" w:rsidR="00294FEB" w:rsidRPr="007279B3" w:rsidRDefault="00294FEB" w:rsidP="00294FEB">
      <w:pPr>
        <w:rPr>
          <w:rFonts w:asciiTheme="majorHAnsi" w:hAnsiTheme="majorHAnsi"/>
          <w:i/>
          <w:color w:val="000000" w:themeColor="text1"/>
        </w:rPr>
      </w:pPr>
    </w:p>
    <w:p w14:paraId="236CC9B6" w14:textId="77777777" w:rsidR="00294FEB" w:rsidRPr="007279B3" w:rsidRDefault="00294FEB" w:rsidP="00294FEB">
      <w:pPr>
        <w:rPr>
          <w:rFonts w:asciiTheme="majorHAnsi" w:hAnsiTheme="majorHAnsi"/>
        </w:rPr>
      </w:pPr>
      <w:r w:rsidRPr="007279B3">
        <w:rPr>
          <w:rFonts w:asciiTheme="majorHAnsi" w:hAnsiTheme="majorHAnsi"/>
        </w:rPr>
        <w:t>Ruthann Robbins, Harry Potter, Ruby Slippers, and Merlin: Telling the Client’s Story Using the Characters and Paradigm of the Archetypal Hero’s Journey, 29 Seattle U. L. Rev. 767 (2006)</w:t>
      </w:r>
    </w:p>
    <w:p w14:paraId="1F8309D6" w14:textId="77777777" w:rsidR="00294FEB" w:rsidRPr="007279B3" w:rsidRDefault="00294FEB" w:rsidP="00294FEB">
      <w:pPr>
        <w:rPr>
          <w:rFonts w:asciiTheme="majorHAnsi" w:hAnsiTheme="majorHAnsi"/>
          <w:color w:val="000000" w:themeColor="text1"/>
        </w:rPr>
      </w:pPr>
    </w:p>
    <w:p w14:paraId="011D0B7F"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 xml:space="preserve">Hypothetical problem, 2 parts, based on </w:t>
      </w:r>
      <w:r w:rsidRPr="007279B3">
        <w:rPr>
          <w:rFonts w:asciiTheme="majorHAnsi" w:hAnsiTheme="majorHAnsi"/>
          <w:i/>
          <w:color w:val="000000" w:themeColor="text1"/>
        </w:rPr>
        <w:t>Newman</w:t>
      </w:r>
      <w:r w:rsidRPr="007279B3">
        <w:rPr>
          <w:rFonts w:asciiTheme="majorHAnsi" w:hAnsiTheme="majorHAnsi"/>
          <w:color w:val="000000" w:themeColor="text1"/>
        </w:rPr>
        <w:t xml:space="preserve"> and </w:t>
      </w:r>
      <w:r w:rsidRPr="007279B3">
        <w:rPr>
          <w:rFonts w:asciiTheme="majorHAnsi" w:hAnsiTheme="majorHAnsi"/>
          <w:i/>
          <w:color w:val="000000" w:themeColor="text1"/>
        </w:rPr>
        <w:t>Taylor</w:t>
      </w:r>
      <w:r w:rsidRPr="007279B3">
        <w:rPr>
          <w:rFonts w:asciiTheme="majorHAnsi" w:hAnsiTheme="majorHAnsi"/>
          <w:color w:val="000000" w:themeColor="text1"/>
        </w:rPr>
        <w:t xml:space="preserve"> cases</w:t>
      </w:r>
    </w:p>
    <w:p w14:paraId="524EB5D1" w14:textId="77777777" w:rsidR="00294FEB" w:rsidRPr="007279B3" w:rsidRDefault="00294FEB" w:rsidP="00294FEB">
      <w:pPr>
        <w:rPr>
          <w:rFonts w:asciiTheme="majorHAnsi" w:hAnsiTheme="majorHAnsi"/>
          <w:color w:val="000000" w:themeColor="text1"/>
        </w:rPr>
      </w:pPr>
    </w:p>
    <w:p w14:paraId="30A1F2FC"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 Exploring Confidentiality and Attorney/Client Privilege in More Depth</w:t>
      </w:r>
    </w:p>
    <w:p w14:paraId="4FF38D9B" w14:textId="77777777" w:rsidR="00294FEB" w:rsidRPr="007279B3" w:rsidRDefault="00294FEB" w:rsidP="00294FEB">
      <w:pPr>
        <w:rPr>
          <w:rFonts w:asciiTheme="majorHAnsi" w:hAnsiTheme="majorHAnsi"/>
          <w:color w:val="000000" w:themeColor="text1"/>
        </w:rPr>
      </w:pPr>
    </w:p>
    <w:p w14:paraId="4D8C47E7"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 xml:space="preserve">Review distinction between duty of confidentiality and attorney/client privilege </w:t>
      </w:r>
    </w:p>
    <w:p w14:paraId="19AF4588" w14:textId="77777777" w:rsidR="00294FEB" w:rsidRPr="007279B3" w:rsidRDefault="00294FEB" w:rsidP="00294FEB">
      <w:pPr>
        <w:rPr>
          <w:rFonts w:asciiTheme="majorHAnsi" w:hAnsiTheme="majorHAnsi"/>
          <w:color w:val="000000" w:themeColor="text1"/>
        </w:rPr>
      </w:pPr>
    </w:p>
    <w:p w14:paraId="740B395C"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Does presence of third party during communication with attorney destroy the privilege?</w:t>
      </w:r>
    </w:p>
    <w:p w14:paraId="6DA47F25" w14:textId="77777777" w:rsidR="00294FEB" w:rsidRPr="007279B3" w:rsidRDefault="00294FEB" w:rsidP="00294FEB">
      <w:pPr>
        <w:rPr>
          <w:rFonts w:asciiTheme="majorHAnsi" w:hAnsiTheme="majorHAnsi"/>
          <w:color w:val="000000" w:themeColor="text1"/>
        </w:rPr>
      </w:pPr>
    </w:p>
    <w:p w14:paraId="5AAEB10A"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When does duty of confidentiality end?</w:t>
      </w:r>
    </w:p>
    <w:p w14:paraId="7ACABD8C" w14:textId="77777777" w:rsidR="00294FEB" w:rsidRPr="007279B3" w:rsidRDefault="00294FEB" w:rsidP="00294FEB">
      <w:pPr>
        <w:rPr>
          <w:rFonts w:asciiTheme="majorHAnsi" w:hAnsiTheme="majorHAnsi"/>
          <w:color w:val="000000" w:themeColor="text1"/>
        </w:rPr>
      </w:pPr>
    </w:p>
    <w:p w14:paraId="4ED699CC"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Balancing confidentiality with client autonomy; when one can/should contact law enforcement to check on client or tell court of attorney’s concerns, thus violating confidentiality</w:t>
      </w:r>
    </w:p>
    <w:p w14:paraId="19D6FD5B" w14:textId="77777777" w:rsidR="00294FEB" w:rsidRPr="007279B3" w:rsidRDefault="00294FEB" w:rsidP="00294FEB">
      <w:pPr>
        <w:rPr>
          <w:rFonts w:asciiTheme="majorHAnsi" w:hAnsiTheme="majorHAnsi"/>
          <w:color w:val="000000" w:themeColor="text1"/>
        </w:rPr>
      </w:pPr>
    </w:p>
    <w:p w14:paraId="67C24228"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Model Rules 1.2(a), 1.6 (a) (online)</w:t>
      </w:r>
    </w:p>
    <w:p w14:paraId="2270D7EB" w14:textId="77777777" w:rsidR="00294FEB" w:rsidRPr="007279B3" w:rsidRDefault="00294FEB" w:rsidP="00294FEB">
      <w:pPr>
        <w:rPr>
          <w:rFonts w:asciiTheme="majorHAnsi" w:hAnsiTheme="majorHAnsi"/>
          <w:color w:val="000000" w:themeColor="text1"/>
        </w:rPr>
      </w:pPr>
    </w:p>
    <w:p w14:paraId="5E180E9D"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Ca. Rule 3-100(A) (online)</w:t>
      </w:r>
    </w:p>
    <w:p w14:paraId="5BF5785F" w14:textId="77777777" w:rsidR="00294FEB" w:rsidRPr="007279B3" w:rsidRDefault="00294FEB" w:rsidP="00294FEB">
      <w:pPr>
        <w:rPr>
          <w:rFonts w:asciiTheme="majorHAnsi" w:hAnsiTheme="majorHAnsi"/>
          <w:color w:val="000000" w:themeColor="text1"/>
        </w:rPr>
      </w:pPr>
    </w:p>
    <w:p w14:paraId="7317BE75"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Ca. Bus. &amp; Prof. Code section 6068(e) (bspace)</w:t>
      </w:r>
    </w:p>
    <w:p w14:paraId="70F2888F" w14:textId="77777777" w:rsidR="00294FEB" w:rsidRPr="007279B3" w:rsidRDefault="00294FEB" w:rsidP="00294FEB">
      <w:pPr>
        <w:rPr>
          <w:rFonts w:asciiTheme="majorHAnsi" w:hAnsiTheme="majorHAnsi"/>
          <w:color w:val="000000" w:themeColor="text1"/>
        </w:rPr>
      </w:pPr>
    </w:p>
    <w:p w14:paraId="236DD21C"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ABA, The Impact of Domestic Violence on Your Legal Practice, chapter by Joan Zorza, “Confidentiality,” pages 64-67 (2004) (bspace)</w:t>
      </w:r>
    </w:p>
    <w:p w14:paraId="47222EE6" w14:textId="77777777" w:rsidR="00294FEB" w:rsidRPr="007279B3" w:rsidRDefault="00294FEB" w:rsidP="00294FEB">
      <w:pPr>
        <w:pStyle w:val="ListParagraph"/>
        <w:rPr>
          <w:rFonts w:asciiTheme="majorHAnsi" w:hAnsiTheme="majorHAnsi"/>
          <w:color w:val="000000" w:themeColor="text1"/>
        </w:rPr>
      </w:pPr>
    </w:p>
    <w:p w14:paraId="056E0646" w14:textId="77777777" w:rsidR="00294FEB" w:rsidRPr="007279B3" w:rsidRDefault="00294FEB" w:rsidP="00294FEB">
      <w:pPr>
        <w:widowControl w:val="0"/>
        <w:autoSpaceDE w:val="0"/>
        <w:autoSpaceDN w:val="0"/>
        <w:adjustRightInd w:val="0"/>
        <w:ind w:right="-720"/>
        <w:jc w:val="both"/>
        <w:rPr>
          <w:rFonts w:asciiTheme="majorHAnsi" w:hAnsiTheme="majorHAnsi" w:cs="Times New Roman"/>
          <w:color w:val="000000" w:themeColor="text1"/>
        </w:rPr>
      </w:pPr>
      <w:r w:rsidRPr="007279B3">
        <w:rPr>
          <w:rFonts w:asciiTheme="majorHAnsi" w:hAnsiTheme="majorHAnsi" w:cs="Times New Roman"/>
          <w:i/>
          <w:color w:val="000000" w:themeColor="text1"/>
        </w:rPr>
        <w:t>People v. Newman</w:t>
      </w:r>
      <w:r w:rsidRPr="007279B3">
        <w:rPr>
          <w:rFonts w:asciiTheme="majorHAnsi" w:hAnsiTheme="majorHAnsi" w:cs="Times New Roman"/>
          <w:color w:val="000000" w:themeColor="text1"/>
        </w:rPr>
        <w:t>, 863 A.2d 321 (Md. 2004) (pages 4-13 in bspace version -- stop at end of Communications Made With Landry on page 13)</w:t>
      </w:r>
    </w:p>
    <w:p w14:paraId="68F3614D" w14:textId="77777777" w:rsidR="00294FEB" w:rsidRPr="007279B3" w:rsidRDefault="00294FEB" w:rsidP="00294FEB">
      <w:pPr>
        <w:rPr>
          <w:rFonts w:asciiTheme="majorHAnsi" w:hAnsiTheme="majorHAnsi"/>
          <w:color w:val="000000" w:themeColor="text1"/>
        </w:rPr>
      </w:pPr>
    </w:p>
    <w:p w14:paraId="5BE8B7D0" w14:textId="77777777" w:rsidR="00294FEB" w:rsidRPr="007279B3" w:rsidRDefault="00294FEB" w:rsidP="00294FEB">
      <w:pPr>
        <w:rPr>
          <w:rFonts w:asciiTheme="majorHAnsi" w:hAnsiTheme="majorHAnsi" w:cs="Times New Roman"/>
          <w:color w:val="000000" w:themeColor="text1"/>
          <w:szCs w:val="20"/>
        </w:rPr>
      </w:pPr>
      <w:r w:rsidRPr="007279B3">
        <w:rPr>
          <w:rFonts w:asciiTheme="majorHAnsi" w:hAnsiTheme="majorHAnsi" w:cs="Times New Roman"/>
          <w:i/>
          <w:color w:val="000000" w:themeColor="text1"/>
          <w:szCs w:val="20"/>
        </w:rPr>
        <w:t>Taylor v. Taylor</w:t>
      </w:r>
      <w:r w:rsidRPr="007279B3">
        <w:rPr>
          <w:rFonts w:asciiTheme="majorHAnsi" w:hAnsiTheme="majorHAnsi" w:cs="Times New Roman"/>
          <w:color w:val="000000" w:themeColor="text1"/>
          <w:szCs w:val="20"/>
        </w:rPr>
        <w:t xml:space="preserve">, 359 N.E. 2d 820 (Ill. App. Ct. 1977) </w:t>
      </w:r>
    </w:p>
    <w:p w14:paraId="09E09589" w14:textId="77777777" w:rsidR="00294FEB" w:rsidRPr="007279B3" w:rsidRDefault="00294FEB" w:rsidP="00294FEB">
      <w:pPr>
        <w:rPr>
          <w:rFonts w:asciiTheme="majorHAnsi" w:hAnsiTheme="majorHAnsi"/>
          <w:color w:val="000000" w:themeColor="text1"/>
        </w:rPr>
      </w:pPr>
    </w:p>
    <w:p w14:paraId="07D55CA0" w14:textId="77777777" w:rsidR="00294FEB" w:rsidRPr="007279B3" w:rsidRDefault="00294FEB" w:rsidP="00294FEB">
      <w:pPr>
        <w:rPr>
          <w:rFonts w:asciiTheme="majorHAnsi" w:hAnsiTheme="majorHAnsi"/>
          <w:b/>
          <w:i/>
          <w:color w:val="000000" w:themeColor="text1"/>
        </w:rPr>
      </w:pPr>
      <w:r w:rsidRPr="007279B3">
        <w:rPr>
          <w:rFonts w:asciiTheme="majorHAnsi" w:hAnsiTheme="majorHAnsi"/>
          <w:b/>
          <w:i/>
          <w:color w:val="000000" w:themeColor="text1"/>
        </w:rPr>
        <w:t>Week 8</w:t>
      </w:r>
    </w:p>
    <w:p w14:paraId="1F4F0DEA" w14:textId="77777777" w:rsidR="00294FEB" w:rsidRPr="007279B3" w:rsidRDefault="00294FEB" w:rsidP="00294FEB">
      <w:pPr>
        <w:rPr>
          <w:rFonts w:asciiTheme="majorHAnsi" w:hAnsiTheme="majorHAnsi"/>
          <w:color w:val="000000" w:themeColor="text1"/>
        </w:rPr>
      </w:pPr>
    </w:p>
    <w:p w14:paraId="36D58ECB"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 xml:space="preserve">Hypothetical problem based on </w:t>
      </w:r>
      <w:r w:rsidRPr="007279B3">
        <w:rPr>
          <w:rFonts w:asciiTheme="majorHAnsi" w:hAnsiTheme="majorHAnsi"/>
          <w:i/>
          <w:color w:val="000000" w:themeColor="text1"/>
        </w:rPr>
        <w:t xml:space="preserve">Chappell </w:t>
      </w:r>
      <w:r w:rsidRPr="007279B3">
        <w:rPr>
          <w:rFonts w:asciiTheme="majorHAnsi" w:hAnsiTheme="majorHAnsi"/>
          <w:color w:val="000000" w:themeColor="text1"/>
        </w:rPr>
        <w:t>case</w:t>
      </w:r>
    </w:p>
    <w:p w14:paraId="39D3D1D8" w14:textId="77777777" w:rsidR="00294FEB" w:rsidRPr="007279B3" w:rsidRDefault="00294FEB" w:rsidP="00294FEB">
      <w:pPr>
        <w:rPr>
          <w:rFonts w:asciiTheme="majorHAnsi" w:hAnsiTheme="majorHAnsi"/>
          <w:color w:val="000000" w:themeColor="text1"/>
        </w:rPr>
      </w:pPr>
    </w:p>
    <w:p w14:paraId="0E262BFB"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 xml:space="preserve">• Going underground, with or without children </w:t>
      </w:r>
    </w:p>
    <w:p w14:paraId="6971EDDC" w14:textId="77777777" w:rsidR="00294FEB" w:rsidRPr="007279B3" w:rsidRDefault="00294FEB" w:rsidP="00294FEB">
      <w:pPr>
        <w:rPr>
          <w:rFonts w:asciiTheme="majorHAnsi" w:hAnsiTheme="majorHAnsi"/>
          <w:color w:val="000000" w:themeColor="text1"/>
        </w:rPr>
      </w:pPr>
    </w:p>
    <w:p w14:paraId="52BEFB2B"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How to advise clients who say they plan to do this</w:t>
      </w:r>
    </w:p>
    <w:p w14:paraId="03B69031"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 xml:space="preserve">Changing names, etc. </w:t>
      </w:r>
    </w:p>
    <w:p w14:paraId="0DC66D0A"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 xml:space="preserve">Legal implications (fraud)? </w:t>
      </w:r>
    </w:p>
    <w:p w14:paraId="1051C5D1"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Creating a power of attorney for client’s contact with the world – filing for divorce/spousal support while underground, attorney staying in touch with client while maintaining confidentiality, safekeeping property for client</w:t>
      </w:r>
    </w:p>
    <w:p w14:paraId="2C1EAAB5"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Ethical obligation not to lie to the court</w:t>
      </w:r>
    </w:p>
    <w:p w14:paraId="2F87BC0B" w14:textId="77777777" w:rsidR="00294FEB" w:rsidRPr="007279B3" w:rsidRDefault="00294FEB" w:rsidP="00294FEB">
      <w:pPr>
        <w:rPr>
          <w:rFonts w:asciiTheme="majorHAnsi" w:hAnsiTheme="majorHAnsi"/>
          <w:color w:val="000000" w:themeColor="text1"/>
        </w:rPr>
      </w:pPr>
    </w:p>
    <w:p w14:paraId="0545C71E"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Model Rules 1.2 (d)(criminal or fraudulent plan by client vs. helping client determine validity, scope, application of law), 1.15 (safekeeping property), 3.3 (candor toward the tribunal), 3.4 (fairness to opposing party and counsel - don’t offer evidence to tribunal that lawyer knows is false), 4.1 (truthfulness in statements to others) (note that this may conflict with 1.1, competence = thoroughness &amp; preparation, i.e. if you don’t ask client info you do not have to disclose it but is this ethical?) (online)</w:t>
      </w:r>
    </w:p>
    <w:p w14:paraId="60F48A8F" w14:textId="77777777" w:rsidR="00294FEB" w:rsidRPr="007279B3" w:rsidRDefault="00294FEB" w:rsidP="00294FEB">
      <w:pPr>
        <w:rPr>
          <w:rFonts w:asciiTheme="majorHAnsi" w:hAnsiTheme="majorHAnsi"/>
          <w:color w:val="000000" w:themeColor="text1"/>
        </w:rPr>
      </w:pPr>
    </w:p>
    <w:p w14:paraId="207486CA"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Ca. Rules 5-200 (candor toward the tribunal), 5-220 (may not suppress evidence when obliged to reveal it), 3-210 (may not advise violation of law unless believes it invalid)(online)</w:t>
      </w:r>
    </w:p>
    <w:p w14:paraId="3163AA02" w14:textId="77777777" w:rsidR="00294FEB" w:rsidRPr="007279B3" w:rsidRDefault="00294FEB" w:rsidP="00294FEB">
      <w:pPr>
        <w:rPr>
          <w:rFonts w:asciiTheme="majorHAnsi" w:hAnsiTheme="majorHAnsi"/>
          <w:color w:val="000000" w:themeColor="text1"/>
        </w:rPr>
      </w:pPr>
    </w:p>
    <w:p w14:paraId="577DD229"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Ca. Bus &amp; Prof code sections 6068(d), 6128(a), 6106 (online)</w:t>
      </w:r>
    </w:p>
    <w:p w14:paraId="10F45B05" w14:textId="77777777" w:rsidR="00294FEB" w:rsidRPr="007279B3" w:rsidRDefault="00294FEB" w:rsidP="00294FEB">
      <w:pPr>
        <w:rPr>
          <w:rFonts w:asciiTheme="majorHAnsi" w:hAnsiTheme="majorHAnsi"/>
          <w:color w:val="000000" w:themeColor="text1"/>
        </w:rPr>
      </w:pPr>
    </w:p>
    <w:p w14:paraId="0954866B"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Ca. Penal code sections 277, 278.5, 278.6, 278.7 (online)</w:t>
      </w:r>
    </w:p>
    <w:p w14:paraId="0AB561CF" w14:textId="77777777" w:rsidR="00294FEB" w:rsidRPr="007279B3" w:rsidRDefault="00294FEB" w:rsidP="00294FEB">
      <w:pPr>
        <w:rPr>
          <w:rFonts w:asciiTheme="majorHAnsi" w:hAnsiTheme="majorHAnsi"/>
          <w:color w:val="000000" w:themeColor="text1"/>
        </w:rPr>
      </w:pPr>
    </w:p>
    <w:p w14:paraId="6B75F8BF"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Leigh Goodmark, Going Underground: The Ethics Of Advising A Battered Woman Fleeing An Abusive Relationship, 75 UMKC L. Rev. 999 (2007) (bspace)</w:t>
      </w:r>
    </w:p>
    <w:p w14:paraId="27D49A38" w14:textId="77777777" w:rsidR="00294FEB" w:rsidRPr="007279B3" w:rsidRDefault="00294FEB" w:rsidP="00294FEB">
      <w:pPr>
        <w:rPr>
          <w:rFonts w:asciiTheme="majorHAnsi" w:hAnsiTheme="majorHAnsi"/>
          <w:color w:val="000000" w:themeColor="text1"/>
        </w:rPr>
      </w:pPr>
    </w:p>
    <w:p w14:paraId="222D204D" w14:textId="77777777" w:rsidR="00294FEB" w:rsidRPr="007279B3" w:rsidRDefault="00294FEB" w:rsidP="00294FEB">
      <w:pPr>
        <w:rPr>
          <w:rFonts w:asciiTheme="majorHAnsi" w:hAnsiTheme="majorHAnsi"/>
          <w:color w:val="000000" w:themeColor="text1"/>
        </w:rPr>
      </w:pPr>
      <w:r w:rsidRPr="007279B3">
        <w:rPr>
          <w:rFonts w:asciiTheme="majorHAnsi" w:hAnsiTheme="majorHAnsi" w:cs="Times New Roman"/>
          <w:i/>
          <w:color w:val="000000" w:themeColor="text1"/>
          <w:szCs w:val="20"/>
        </w:rPr>
        <w:t>People v. Chappell</w:t>
      </w:r>
      <w:r w:rsidRPr="007279B3">
        <w:rPr>
          <w:rFonts w:asciiTheme="majorHAnsi" w:hAnsiTheme="majorHAnsi" w:cs="Times New Roman"/>
          <w:color w:val="000000" w:themeColor="text1"/>
          <w:szCs w:val="20"/>
        </w:rPr>
        <w:t>, 927 P.2d 829 (Colo. 1996) (bspace)</w:t>
      </w:r>
    </w:p>
    <w:p w14:paraId="383CE82A" w14:textId="77777777" w:rsidR="00294FEB" w:rsidRPr="007279B3" w:rsidRDefault="00294FEB" w:rsidP="00294FEB">
      <w:pPr>
        <w:rPr>
          <w:rFonts w:asciiTheme="majorHAnsi" w:hAnsiTheme="majorHAnsi"/>
          <w:color w:val="000000" w:themeColor="text1"/>
        </w:rPr>
      </w:pPr>
    </w:p>
    <w:p w14:paraId="13A363F5" w14:textId="77777777" w:rsidR="00294FEB" w:rsidRPr="007279B3" w:rsidRDefault="00294FEB" w:rsidP="00294FEB">
      <w:pPr>
        <w:rPr>
          <w:rFonts w:asciiTheme="majorHAnsi" w:hAnsiTheme="majorHAnsi"/>
          <w:b/>
          <w:i/>
          <w:color w:val="000000" w:themeColor="text1"/>
        </w:rPr>
      </w:pPr>
      <w:r w:rsidRPr="007279B3">
        <w:rPr>
          <w:rFonts w:asciiTheme="majorHAnsi" w:hAnsiTheme="majorHAnsi"/>
          <w:b/>
          <w:i/>
          <w:color w:val="000000" w:themeColor="text1"/>
        </w:rPr>
        <w:t>Week 9</w:t>
      </w:r>
    </w:p>
    <w:p w14:paraId="7E3E7987" w14:textId="77777777" w:rsidR="00294FEB" w:rsidRPr="007279B3" w:rsidRDefault="00294FEB" w:rsidP="00294FEB">
      <w:pPr>
        <w:rPr>
          <w:rFonts w:asciiTheme="majorHAnsi" w:hAnsiTheme="majorHAnsi"/>
          <w:i/>
          <w:color w:val="000000" w:themeColor="text1"/>
        </w:rPr>
      </w:pPr>
    </w:p>
    <w:p w14:paraId="3DC933D8"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Binder and Price, Legal Interviewing and Counseling, “Motivation Within the Interview” and “Active Listening” (bspace)</w:t>
      </w:r>
    </w:p>
    <w:p w14:paraId="6AD6AC6C" w14:textId="77777777" w:rsidR="00294FEB" w:rsidRPr="007279B3" w:rsidRDefault="00294FEB" w:rsidP="00294FEB">
      <w:pPr>
        <w:rPr>
          <w:rFonts w:asciiTheme="majorHAnsi" w:hAnsiTheme="majorHAnsi"/>
          <w:color w:val="000000" w:themeColor="text1"/>
        </w:rPr>
      </w:pPr>
    </w:p>
    <w:p w14:paraId="48A1ABF6" w14:textId="77777777" w:rsidR="00294FEB" w:rsidRPr="007279B3" w:rsidRDefault="00294FEB" w:rsidP="00294FEB">
      <w:pPr>
        <w:rPr>
          <w:rFonts w:asciiTheme="majorHAnsi" w:hAnsiTheme="majorHAnsi" w:cs="Times New Roman"/>
          <w:color w:val="000000" w:themeColor="text1"/>
          <w:szCs w:val="22"/>
        </w:rPr>
      </w:pPr>
      <w:r w:rsidRPr="007279B3">
        <w:rPr>
          <w:rFonts w:asciiTheme="majorHAnsi" w:hAnsiTheme="majorHAnsi" w:cs="Times New Roman"/>
          <w:color w:val="000000" w:themeColor="text1"/>
          <w:szCs w:val="22"/>
        </w:rPr>
        <w:t>Standards of Practice for Lawyers Representing Victims of Domestic Violence, Sexual Assault and Stalking in Civil Protection Order Cases, ABA (2007)(bspace)</w:t>
      </w:r>
    </w:p>
    <w:p w14:paraId="7D4ED89A" w14:textId="77777777" w:rsidR="00294FEB" w:rsidRPr="007279B3" w:rsidRDefault="00294FEB" w:rsidP="00294FEB">
      <w:pPr>
        <w:rPr>
          <w:rFonts w:asciiTheme="majorHAnsi" w:hAnsiTheme="majorHAnsi" w:cs="Times New Roman"/>
          <w:color w:val="000000" w:themeColor="text1"/>
          <w:szCs w:val="22"/>
        </w:rPr>
      </w:pPr>
    </w:p>
    <w:p w14:paraId="54D87CC9" w14:textId="77777777" w:rsidR="00294FEB" w:rsidRPr="007279B3" w:rsidRDefault="00294FEB" w:rsidP="00294FEB">
      <w:pPr>
        <w:rPr>
          <w:rFonts w:asciiTheme="majorHAnsi" w:hAnsiTheme="majorHAnsi"/>
          <w:color w:val="000000" w:themeColor="text1"/>
        </w:rPr>
      </w:pPr>
      <w:r w:rsidRPr="007279B3">
        <w:rPr>
          <w:rFonts w:asciiTheme="majorHAnsi" w:hAnsiTheme="majorHAnsi" w:cs="Times New Roman"/>
          <w:color w:val="000000" w:themeColor="text1"/>
          <w:szCs w:val="22"/>
        </w:rPr>
        <w:t>Model Rules and Ca. Rules – you determine which may be applicable (online)</w:t>
      </w:r>
    </w:p>
    <w:p w14:paraId="10381A24" w14:textId="77777777" w:rsidR="00294FEB" w:rsidRPr="007279B3" w:rsidRDefault="00294FEB" w:rsidP="00294FEB">
      <w:pPr>
        <w:rPr>
          <w:rFonts w:asciiTheme="majorHAnsi" w:hAnsiTheme="majorHAnsi"/>
          <w:color w:val="000000" w:themeColor="text1"/>
        </w:rPr>
      </w:pPr>
    </w:p>
    <w:p w14:paraId="534F98DD"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Hypothetical Problem re dealing with unrepresented opposing party in civil court:</w:t>
      </w:r>
    </w:p>
    <w:p w14:paraId="2FA8428F" w14:textId="77777777" w:rsidR="00294FEB" w:rsidRPr="007279B3" w:rsidRDefault="00294FEB" w:rsidP="00294FEB">
      <w:pPr>
        <w:rPr>
          <w:rFonts w:asciiTheme="majorHAnsi" w:hAnsiTheme="majorHAnsi"/>
          <w:color w:val="000000" w:themeColor="text1"/>
        </w:rPr>
      </w:pPr>
    </w:p>
    <w:p w14:paraId="650E2D7B"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 Protecting your client from harassment and intimidation during cross-examination</w:t>
      </w:r>
    </w:p>
    <w:p w14:paraId="6BF3B719" w14:textId="77777777" w:rsidR="00294FEB" w:rsidRPr="007279B3" w:rsidRDefault="00294FEB" w:rsidP="00294FEB">
      <w:pPr>
        <w:rPr>
          <w:rFonts w:asciiTheme="majorHAnsi" w:hAnsiTheme="majorHAnsi"/>
          <w:color w:val="000000" w:themeColor="text1"/>
        </w:rPr>
      </w:pPr>
    </w:p>
    <w:p w14:paraId="7FC43E1A"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 xml:space="preserve">• How to respond when other party tries to tell you what to do, and you are representing victim </w:t>
      </w:r>
    </w:p>
    <w:p w14:paraId="268F6DBF" w14:textId="77777777" w:rsidR="00294FEB" w:rsidRPr="007279B3" w:rsidRDefault="00294FEB" w:rsidP="00294FEB">
      <w:pPr>
        <w:rPr>
          <w:rFonts w:asciiTheme="majorHAnsi" w:hAnsiTheme="majorHAnsi"/>
          <w:color w:val="000000" w:themeColor="text1"/>
        </w:rPr>
      </w:pPr>
    </w:p>
    <w:p w14:paraId="67720D6E"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 Your response to opposing party during hearing</w:t>
      </w:r>
    </w:p>
    <w:p w14:paraId="1D7A1505" w14:textId="77777777" w:rsidR="00294FEB" w:rsidRPr="007279B3" w:rsidRDefault="00294FEB" w:rsidP="00294FEB">
      <w:pPr>
        <w:rPr>
          <w:rFonts w:asciiTheme="majorHAnsi" w:hAnsiTheme="majorHAnsi"/>
          <w:color w:val="000000" w:themeColor="text1"/>
        </w:rPr>
      </w:pPr>
    </w:p>
    <w:p w14:paraId="6F853568"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 Any duty to explain the court order to opposing party?</w:t>
      </w:r>
    </w:p>
    <w:p w14:paraId="645ED9C1" w14:textId="77777777" w:rsidR="00294FEB" w:rsidRPr="007279B3" w:rsidRDefault="00294FEB" w:rsidP="00294FEB">
      <w:pPr>
        <w:rPr>
          <w:rFonts w:asciiTheme="majorHAnsi" w:hAnsiTheme="majorHAnsi"/>
          <w:color w:val="000000" w:themeColor="text1"/>
        </w:rPr>
      </w:pPr>
    </w:p>
    <w:p w14:paraId="25D4AE70" w14:textId="77777777" w:rsidR="00294FEB" w:rsidRPr="007279B3" w:rsidRDefault="00294FEB" w:rsidP="00294FEB">
      <w:pPr>
        <w:rPr>
          <w:rFonts w:asciiTheme="majorHAnsi" w:hAnsiTheme="majorHAnsi"/>
          <w:b/>
          <w:i/>
          <w:color w:val="000000" w:themeColor="text1"/>
        </w:rPr>
      </w:pPr>
      <w:r w:rsidRPr="007279B3">
        <w:rPr>
          <w:rFonts w:asciiTheme="majorHAnsi" w:hAnsiTheme="majorHAnsi"/>
          <w:b/>
          <w:i/>
          <w:color w:val="000000" w:themeColor="text1"/>
        </w:rPr>
        <w:t>Week 10</w:t>
      </w:r>
    </w:p>
    <w:p w14:paraId="6B34B2AF" w14:textId="77777777" w:rsidR="00294FEB" w:rsidRPr="007279B3" w:rsidRDefault="00294FEB" w:rsidP="00294FEB">
      <w:pPr>
        <w:rPr>
          <w:rFonts w:asciiTheme="majorHAnsi" w:hAnsiTheme="majorHAnsi"/>
          <w:i/>
          <w:color w:val="000000" w:themeColor="text1"/>
        </w:rPr>
      </w:pPr>
    </w:p>
    <w:p w14:paraId="5FB7E606"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Binder and Price, Legal Interviewing and Counseling, “Questioning” and “Dealing with Client Reluctance”</w:t>
      </w:r>
    </w:p>
    <w:p w14:paraId="2D005729" w14:textId="77777777" w:rsidR="00294FEB" w:rsidRPr="007279B3" w:rsidRDefault="00294FEB" w:rsidP="00294FEB">
      <w:pPr>
        <w:rPr>
          <w:rFonts w:asciiTheme="majorHAnsi" w:hAnsiTheme="majorHAnsi"/>
          <w:color w:val="000000" w:themeColor="text1"/>
        </w:rPr>
      </w:pPr>
    </w:p>
    <w:p w14:paraId="011C97B7"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Adrienne Jennings Lockie, Salt in the Wounds: Why Attorneys Should Not be Mandated Reporters of Child Abuse, 36 N M L Rev 125 (2006) (bspace) (skip pages 138-139 re NJ and pages 154-158, Solutions).</w:t>
      </w:r>
    </w:p>
    <w:p w14:paraId="40F4F676" w14:textId="77777777" w:rsidR="00294FEB" w:rsidRPr="007279B3" w:rsidRDefault="00294FEB" w:rsidP="00294FEB">
      <w:pPr>
        <w:rPr>
          <w:rFonts w:asciiTheme="majorHAnsi" w:hAnsiTheme="majorHAnsi"/>
          <w:color w:val="000000" w:themeColor="text1"/>
        </w:rPr>
      </w:pPr>
    </w:p>
    <w:p w14:paraId="109FE271"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Hypothetical Problem based on Lockie article</w:t>
      </w:r>
    </w:p>
    <w:p w14:paraId="60BEB242" w14:textId="77777777" w:rsidR="00294FEB" w:rsidRPr="007279B3" w:rsidRDefault="00294FEB" w:rsidP="00294FEB">
      <w:pPr>
        <w:rPr>
          <w:rFonts w:asciiTheme="majorHAnsi" w:hAnsiTheme="majorHAnsi"/>
          <w:color w:val="000000" w:themeColor="text1"/>
        </w:rPr>
      </w:pPr>
    </w:p>
    <w:p w14:paraId="0EC98A70"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Miscellaneous Issues, continued</w:t>
      </w:r>
    </w:p>
    <w:p w14:paraId="64D092D9" w14:textId="77777777" w:rsidR="00294FEB" w:rsidRPr="007279B3" w:rsidRDefault="00294FEB" w:rsidP="00294FEB">
      <w:pPr>
        <w:rPr>
          <w:rFonts w:asciiTheme="majorHAnsi" w:hAnsiTheme="majorHAnsi"/>
          <w:color w:val="000000" w:themeColor="text1"/>
        </w:rPr>
      </w:pPr>
    </w:p>
    <w:p w14:paraId="309E7676"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 Protection of client’s children – if client goes back to abuser and children are involved, does attorney owe duty to children? Does reporting child abuse to CPS violate any ethical rules?</w:t>
      </w:r>
    </w:p>
    <w:p w14:paraId="4A33485C" w14:textId="77777777" w:rsidR="00294FEB" w:rsidRPr="007279B3" w:rsidRDefault="00294FEB" w:rsidP="00294FEB">
      <w:pPr>
        <w:rPr>
          <w:rFonts w:asciiTheme="majorHAnsi" w:hAnsiTheme="majorHAnsi"/>
          <w:color w:val="000000" w:themeColor="text1"/>
        </w:rPr>
      </w:pPr>
    </w:p>
    <w:p w14:paraId="2C6BD3CE"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 Should attorneys be mandated child abuse reporters? What ethical rules are relevant to this policy decision?</w:t>
      </w:r>
    </w:p>
    <w:p w14:paraId="3FA94C45" w14:textId="77777777" w:rsidR="00294FEB" w:rsidRPr="007279B3" w:rsidRDefault="00294FEB" w:rsidP="00294FEB">
      <w:pPr>
        <w:rPr>
          <w:rFonts w:asciiTheme="majorHAnsi" w:hAnsiTheme="majorHAnsi"/>
          <w:color w:val="000000" w:themeColor="text1"/>
        </w:rPr>
      </w:pPr>
    </w:p>
    <w:p w14:paraId="5CDFC303" w14:textId="77777777" w:rsidR="00294FEB" w:rsidRPr="007279B3" w:rsidRDefault="00294FEB" w:rsidP="00294FEB">
      <w:pPr>
        <w:rPr>
          <w:rFonts w:asciiTheme="majorHAnsi" w:hAnsiTheme="majorHAnsi"/>
          <w:b/>
          <w:i/>
          <w:color w:val="000000" w:themeColor="text1"/>
        </w:rPr>
      </w:pPr>
      <w:r w:rsidRPr="007279B3">
        <w:rPr>
          <w:rFonts w:asciiTheme="majorHAnsi" w:hAnsiTheme="majorHAnsi"/>
          <w:b/>
          <w:i/>
          <w:color w:val="000000" w:themeColor="text1"/>
        </w:rPr>
        <w:t>Week 11</w:t>
      </w:r>
    </w:p>
    <w:p w14:paraId="0F494307" w14:textId="77777777" w:rsidR="00294FEB" w:rsidRPr="007279B3" w:rsidRDefault="00294FEB" w:rsidP="00294FEB">
      <w:pPr>
        <w:rPr>
          <w:rFonts w:asciiTheme="majorHAnsi" w:hAnsiTheme="majorHAnsi"/>
          <w:i/>
          <w:color w:val="000000" w:themeColor="text1"/>
        </w:rPr>
      </w:pPr>
    </w:p>
    <w:p w14:paraId="089D1D77" w14:textId="77777777" w:rsidR="00294FEB" w:rsidRPr="007279B3" w:rsidRDefault="00294FEB" w:rsidP="00294FEB">
      <w:pPr>
        <w:rPr>
          <w:rFonts w:asciiTheme="majorHAnsi" w:hAnsiTheme="majorHAnsi"/>
        </w:rPr>
      </w:pPr>
      <w:r w:rsidRPr="007279B3">
        <w:rPr>
          <w:rFonts w:asciiTheme="majorHAnsi" w:hAnsiTheme="majorHAnsi"/>
        </w:rPr>
        <w:t>Ann Freedman, “Fact-Finding in Civil Domestic Violence Cases: Secondary Traumatic Stress and the Need for Compassionate Witnesses,” 11(2) J of Gender, Soc. Policy &amp; the L 567 (2003) (Westlaw – skim briefly)</w:t>
      </w:r>
    </w:p>
    <w:p w14:paraId="0E80215F" w14:textId="77777777" w:rsidR="00294FEB" w:rsidRPr="007279B3" w:rsidRDefault="00294FEB" w:rsidP="00294FEB">
      <w:pPr>
        <w:rPr>
          <w:rFonts w:asciiTheme="majorHAnsi" w:hAnsiTheme="majorHAnsi"/>
          <w:color w:val="000000" w:themeColor="text1"/>
        </w:rPr>
      </w:pPr>
    </w:p>
    <w:p w14:paraId="648CE365"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 xml:space="preserve">Dana Harrington Conner, </w:t>
      </w:r>
      <w:r w:rsidRPr="007279B3">
        <w:rPr>
          <w:rFonts w:asciiTheme="majorHAnsi" w:hAnsiTheme="majorHAnsi" w:cs="Times New Roman"/>
          <w:szCs w:val="20"/>
        </w:rPr>
        <w:t>To Protect Or To Serve: Confidentiality, Client Protection, And Domestic Violence, fall 2006 Temple Law Review 877</w:t>
      </w:r>
      <w:r w:rsidRPr="007279B3">
        <w:rPr>
          <w:rFonts w:asciiTheme="majorHAnsi" w:hAnsiTheme="majorHAnsi" w:cs="Times New Roman"/>
        </w:rPr>
        <w:t xml:space="preserve"> </w:t>
      </w:r>
      <w:r w:rsidRPr="007279B3">
        <w:rPr>
          <w:rFonts w:asciiTheme="majorHAnsi" w:hAnsiTheme="majorHAnsi"/>
          <w:color w:val="000000" w:themeColor="text1"/>
        </w:rPr>
        <w:t>- Parts III, IV, VIII, and IX (bspace)</w:t>
      </w:r>
    </w:p>
    <w:p w14:paraId="0BFC8824" w14:textId="77777777" w:rsidR="00294FEB" w:rsidRPr="007279B3" w:rsidRDefault="00294FEB" w:rsidP="00294FEB">
      <w:pPr>
        <w:rPr>
          <w:rFonts w:asciiTheme="majorHAnsi" w:hAnsiTheme="majorHAnsi"/>
          <w:color w:val="000000" w:themeColor="text1"/>
        </w:rPr>
      </w:pPr>
    </w:p>
    <w:p w14:paraId="71FF7683"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Model rules 1.14, 1.2, 1.16 (online)</w:t>
      </w:r>
    </w:p>
    <w:p w14:paraId="70726A96" w14:textId="77777777" w:rsidR="00294FEB" w:rsidRPr="007279B3" w:rsidRDefault="00294FEB" w:rsidP="00294FEB">
      <w:pPr>
        <w:rPr>
          <w:rFonts w:asciiTheme="majorHAnsi" w:hAnsiTheme="majorHAnsi"/>
          <w:color w:val="000000" w:themeColor="text1"/>
        </w:rPr>
      </w:pPr>
    </w:p>
    <w:p w14:paraId="706FE504"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Ca. Rules 3-700, 2-400 (online)</w:t>
      </w:r>
    </w:p>
    <w:p w14:paraId="0FB1B348" w14:textId="77777777" w:rsidR="00294FEB" w:rsidRPr="007279B3" w:rsidRDefault="00294FEB" w:rsidP="00294FEB">
      <w:pPr>
        <w:rPr>
          <w:rFonts w:asciiTheme="majorHAnsi" w:hAnsiTheme="majorHAnsi"/>
          <w:color w:val="000000" w:themeColor="text1"/>
        </w:rPr>
      </w:pPr>
    </w:p>
    <w:p w14:paraId="2F378921"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Hypothetical Problem: Client who may have diminished capacity, termination of representation of abused client</w:t>
      </w:r>
    </w:p>
    <w:p w14:paraId="009484C5" w14:textId="77777777" w:rsidR="00294FEB" w:rsidRPr="007279B3" w:rsidRDefault="00294FEB" w:rsidP="00294FEB">
      <w:pPr>
        <w:rPr>
          <w:rFonts w:asciiTheme="majorHAnsi" w:hAnsiTheme="majorHAnsi"/>
          <w:color w:val="000000" w:themeColor="text1"/>
        </w:rPr>
      </w:pPr>
    </w:p>
    <w:p w14:paraId="5CB61B82" w14:textId="77777777" w:rsidR="00294FEB" w:rsidRPr="007279B3" w:rsidRDefault="00294FEB" w:rsidP="00294FEB">
      <w:pPr>
        <w:rPr>
          <w:rFonts w:asciiTheme="majorHAnsi" w:hAnsiTheme="majorHAnsi"/>
          <w:b/>
          <w:i/>
          <w:color w:val="000000" w:themeColor="text1"/>
        </w:rPr>
      </w:pPr>
      <w:r w:rsidRPr="007279B3">
        <w:rPr>
          <w:rFonts w:asciiTheme="majorHAnsi" w:hAnsiTheme="majorHAnsi"/>
          <w:b/>
          <w:i/>
          <w:color w:val="000000" w:themeColor="text1"/>
        </w:rPr>
        <w:t>Week 12</w:t>
      </w:r>
    </w:p>
    <w:p w14:paraId="514A2EEE" w14:textId="77777777" w:rsidR="00294FEB" w:rsidRPr="007279B3" w:rsidRDefault="00294FEB" w:rsidP="00294FEB">
      <w:pPr>
        <w:rPr>
          <w:rFonts w:asciiTheme="majorHAnsi" w:hAnsiTheme="majorHAnsi"/>
          <w:i/>
          <w:color w:val="000000" w:themeColor="text1"/>
        </w:rPr>
      </w:pPr>
    </w:p>
    <w:p w14:paraId="25F74A90"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 xml:space="preserve">Hypothetical Problem - </w:t>
      </w:r>
      <w:r w:rsidRPr="007279B3">
        <w:rPr>
          <w:rFonts w:asciiTheme="majorHAnsi" w:hAnsiTheme="majorHAnsi" w:cs="Times New Roman"/>
          <w:color w:val="000000" w:themeColor="text1"/>
          <w:szCs w:val="30"/>
        </w:rPr>
        <w:t>Representing the alleged batterer, declining representation, termination of representation</w:t>
      </w:r>
    </w:p>
    <w:p w14:paraId="1AF43195" w14:textId="77777777" w:rsidR="00294FEB" w:rsidRPr="007279B3" w:rsidRDefault="00294FEB" w:rsidP="00294FEB">
      <w:pPr>
        <w:rPr>
          <w:rFonts w:asciiTheme="majorHAnsi" w:hAnsiTheme="majorHAnsi"/>
          <w:color w:val="000000" w:themeColor="text1"/>
        </w:rPr>
      </w:pPr>
    </w:p>
    <w:p w14:paraId="251EEE9B"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Model rules 1.2 (scope of representation), 1.6 (confidentiality), 1.16 (declining or terminating representation), 3.1 (meritorious claims and contentions), 3.3 (candor toward the tribunal), 4.2 (communication with person represented by counsel), 4.3 (communication with unrepresented person), (online)</w:t>
      </w:r>
    </w:p>
    <w:p w14:paraId="2EB4831B" w14:textId="77777777" w:rsidR="00294FEB" w:rsidRPr="007279B3" w:rsidRDefault="00294FEB" w:rsidP="00294FEB">
      <w:pPr>
        <w:rPr>
          <w:rFonts w:asciiTheme="majorHAnsi" w:hAnsiTheme="majorHAnsi"/>
          <w:color w:val="000000" w:themeColor="text1"/>
        </w:rPr>
      </w:pPr>
    </w:p>
    <w:p w14:paraId="5E1671A2"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Ca. Rule 3-210 (advising violation of law) (online)</w:t>
      </w:r>
    </w:p>
    <w:p w14:paraId="1E1230FD" w14:textId="77777777" w:rsidR="00294FEB" w:rsidRPr="007279B3" w:rsidRDefault="00294FEB" w:rsidP="00294FEB">
      <w:pPr>
        <w:rPr>
          <w:rFonts w:asciiTheme="majorHAnsi" w:hAnsiTheme="majorHAnsi"/>
          <w:color w:val="000000" w:themeColor="text1"/>
        </w:rPr>
      </w:pPr>
    </w:p>
    <w:p w14:paraId="3AEE2B48"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Ca. Bus &amp; Prof Code section 6068(h) (may not reject cause of defenseless or oppressed for consideration personal to attorney)(online)</w:t>
      </w:r>
    </w:p>
    <w:p w14:paraId="5DFF4D09" w14:textId="77777777" w:rsidR="00294FEB" w:rsidRPr="007279B3" w:rsidRDefault="00294FEB" w:rsidP="00294FEB">
      <w:pPr>
        <w:rPr>
          <w:rFonts w:asciiTheme="majorHAnsi" w:hAnsiTheme="majorHAnsi"/>
          <w:color w:val="000000" w:themeColor="text1"/>
        </w:rPr>
      </w:pPr>
    </w:p>
    <w:p w14:paraId="263B30FB"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Lisa Angel and Lee Rosen, “Zealous and Ethical Representation of Batterers,” The Impact of Domestic Violence on Your Legal Practice, ABA, 2d ed, pages 83-86 (2004)(bspace)</w:t>
      </w:r>
    </w:p>
    <w:p w14:paraId="47D2D770" w14:textId="77777777" w:rsidR="00294FEB" w:rsidRPr="007279B3" w:rsidRDefault="00294FEB" w:rsidP="00294FEB">
      <w:pPr>
        <w:rPr>
          <w:rFonts w:asciiTheme="majorHAnsi" w:hAnsiTheme="majorHAnsi"/>
          <w:color w:val="000000" w:themeColor="text1"/>
        </w:rPr>
      </w:pPr>
    </w:p>
    <w:p w14:paraId="7E9FBDBF" w14:textId="77777777" w:rsidR="00294FEB" w:rsidRPr="007279B3" w:rsidRDefault="00294FEB" w:rsidP="00294FEB">
      <w:pPr>
        <w:rPr>
          <w:rFonts w:asciiTheme="majorHAnsi" w:hAnsiTheme="majorHAnsi"/>
          <w:color w:val="000000" w:themeColor="text1"/>
        </w:rPr>
      </w:pPr>
      <w:r w:rsidRPr="007279B3">
        <w:rPr>
          <w:rFonts w:asciiTheme="majorHAnsi" w:hAnsiTheme="majorHAnsi" w:cs="Times New Roman"/>
          <w:i/>
          <w:color w:val="000000" w:themeColor="text1"/>
          <w:szCs w:val="20"/>
        </w:rPr>
        <w:t>In re Marriage of Foran</w:t>
      </w:r>
      <w:r w:rsidRPr="007279B3">
        <w:rPr>
          <w:rFonts w:asciiTheme="majorHAnsi" w:hAnsiTheme="majorHAnsi" w:cs="Times New Roman"/>
          <w:color w:val="000000" w:themeColor="text1"/>
          <w:szCs w:val="20"/>
        </w:rPr>
        <w:t xml:space="preserve">, 834 P.2d 1081 (Wash. Ct. App. 1992) (bspace) </w:t>
      </w:r>
    </w:p>
    <w:p w14:paraId="513F5553" w14:textId="77777777" w:rsidR="00294FEB" w:rsidRPr="007279B3" w:rsidRDefault="00294FEB" w:rsidP="00294FEB">
      <w:pPr>
        <w:rPr>
          <w:rFonts w:asciiTheme="majorHAnsi" w:hAnsiTheme="majorHAnsi"/>
          <w:color w:val="000000" w:themeColor="text1"/>
        </w:rPr>
      </w:pPr>
    </w:p>
    <w:p w14:paraId="05B9449F" w14:textId="77777777" w:rsidR="00294FEB" w:rsidRPr="007279B3" w:rsidRDefault="00294FEB" w:rsidP="00294FEB">
      <w:pPr>
        <w:rPr>
          <w:rFonts w:asciiTheme="majorHAnsi" w:hAnsiTheme="majorHAnsi"/>
          <w:b/>
          <w:i/>
          <w:color w:val="000000" w:themeColor="text1"/>
        </w:rPr>
      </w:pPr>
      <w:r w:rsidRPr="007279B3">
        <w:rPr>
          <w:rFonts w:asciiTheme="majorHAnsi" w:hAnsiTheme="majorHAnsi"/>
          <w:b/>
          <w:i/>
          <w:color w:val="000000" w:themeColor="text1"/>
        </w:rPr>
        <w:t>Week 13</w:t>
      </w:r>
    </w:p>
    <w:p w14:paraId="2F8A37B8" w14:textId="77777777" w:rsidR="00294FEB" w:rsidRPr="007279B3" w:rsidRDefault="00294FEB" w:rsidP="00294FEB">
      <w:pPr>
        <w:rPr>
          <w:rFonts w:asciiTheme="majorHAnsi" w:hAnsiTheme="majorHAnsi"/>
          <w:color w:val="000000" w:themeColor="text1"/>
        </w:rPr>
      </w:pPr>
    </w:p>
    <w:p w14:paraId="64884AE9"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 xml:space="preserve">Hypothetical Problem based on </w:t>
      </w:r>
      <w:r w:rsidRPr="007279B3">
        <w:rPr>
          <w:rFonts w:asciiTheme="majorHAnsi" w:hAnsiTheme="majorHAnsi"/>
          <w:i/>
          <w:color w:val="000000" w:themeColor="text1"/>
        </w:rPr>
        <w:t>Hawkins, Hansen, Dang</w:t>
      </w:r>
      <w:r w:rsidRPr="007279B3">
        <w:rPr>
          <w:rFonts w:asciiTheme="majorHAnsi" w:hAnsiTheme="majorHAnsi"/>
          <w:color w:val="000000" w:themeColor="text1"/>
        </w:rPr>
        <w:t xml:space="preserve">, and </w:t>
      </w:r>
      <w:r w:rsidRPr="007279B3">
        <w:rPr>
          <w:rFonts w:asciiTheme="majorHAnsi" w:hAnsiTheme="majorHAnsi"/>
          <w:i/>
          <w:color w:val="000000" w:themeColor="text1"/>
        </w:rPr>
        <w:t>Newman</w:t>
      </w:r>
      <w:r w:rsidRPr="007279B3">
        <w:rPr>
          <w:rFonts w:asciiTheme="majorHAnsi" w:hAnsiTheme="majorHAnsi"/>
          <w:color w:val="000000" w:themeColor="text1"/>
        </w:rPr>
        <w:t xml:space="preserve"> cases</w:t>
      </w:r>
    </w:p>
    <w:p w14:paraId="5BAEA7E8" w14:textId="77777777" w:rsidR="00294FEB" w:rsidRPr="007279B3" w:rsidRDefault="00294FEB" w:rsidP="00294FEB">
      <w:pPr>
        <w:rPr>
          <w:rFonts w:asciiTheme="majorHAnsi" w:hAnsiTheme="majorHAnsi"/>
          <w:color w:val="000000" w:themeColor="text1"/>
        </w:rPr>
      </w:pPr>
    </w:p>
    <w:p w14:paraId="566C5243"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 xml:space="preserve">• Duty to Screen for Client’s Plan to Harm Own Counsel, Client’s Partner, or Others; Attempt to Dissuade &amp; Duty to Warn Partner or other third parties (e.g., judges) </w:t>
      </w:r>
    </w:p>
    <w:p w14:paraId="149CAC29" w14:textId="77777777" w:rsidR="00294FEB" w:rsidRPr="007279B3" w:rsidRDefault="00294FEB" w:rsidP="00294FEB">
      <w:pPr>
        <w:rPr>
          <w:rFonts w:asciiTheme="majorHAnsi" w:hAnsiTheme="majorHAnsi"/>
          <w:color w:val="000000" w:themeColor="text1"/>
        </w:rPr>
      </w:pPr>
    </w:p>
    <w:p w14:paraId="59854FE0"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Dealing with threats by batterer or victim toward third parties, avoiding tort liability, balancing duty with confidentiality</w:t>
      </w:r>
    </w:p>
    <w:p w14:paraId="6A5619F1" w14:textId="77777777" w:rsidR="00294FEB" w:rsidRPr="007279B3" w:rsidRDefault="00294FEB" w:rsidP="00294FEB">
      <w:pPr>
        <w:widowControl w:val="0"/>
        <w:autoSpaceDE w:val="0"/>
        <w:autoSpaceDN w:val="0"/>
        <w:adjustRightInd w:val="0"/>
        <w:rPr>
          <w:rFonts w:asciiTheme="majorHAnsi" w:hAnsiTheme="majorHAnsi" w:cs="Times New Roman"/>
          <w:color w:val="000000" w:themeColor="text1"/>
          <w:szCs w:val="30"/>
        </w:rPr>
      </w:pPr>
    </w:p>
    <w:p w14:paraId="042E1D07"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Model rules 1.6(b), 1.16, 4.2 (online)</w:t>
      </w:r>
    </w:p>
    <w:p w14:paraId="781C4D49" w14:textId="77777777" w:rsidR="00294FEB" w:rsidRPr="007279B3" w:rsidRDefault="00294FEB" w:rsidP="00294FEB">
      <w:pPr>
        <w:rPr>
          <w:rFonts w:asciiTheme="majorHAnsi" w:hAnsiTheme="majorHAnsi"/>
          <w:color w:val="000000" w:themeColor="text1"/>
        </w:rPr>
      </w:pPr>
    </w:p>
    <w:p w14:paraId="70CDEF1D"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Ca. Rule 3-100  (online)</w:t>
      </w:r>
    </w:p>
    <w:p w14:paraId="275B26A5" w14:textId="77777777" w:rsidR="00294FEB" w:rsidRPr="007279B3" w:rsidRDefault="00294FEB" w:rsidP="00294FEB">
      <w:pPr>
        <w:rPr>
          <w:rFonts w:asciiTheme="majorHAnsi" w:hAnsiTheme="majorHAnsi"/>
          <w:color w:val="000000" w:themeColor="text1"/>
        </w:rPr>
      </w:pPr>
    </w:p>
    <w:p w14:paraId="6EE64C33"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Ca. Bus &amp; Prof Code section 6068(e) (bspace)</w:t>
      </w:r>
    </w:p>
    <w:p w14:paraId="14062C94" w14:textId="77777777" w:rsidR="00294FEB" w:rsidRPr="007279B3" w:rsidRDefault="00294FEB" w:rsidP="00294FEB">
      <w:pPr>
        <w:rPr>
          <w:rFonts w:asciiTheme="majorHAnsi" w:hAnsiTheme="majorHAnsi"/>
          <w:color w:val="000000" w:themeColor="text1"/>
        </w:rPr>
      </w:pPr>
    </w:p>
    <w:p w14:paraId="4BE8DA8B"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Ca. Evid Code section 956.5 9 (bspace)</w:t>
      </w:r>
    </w:p>
    <w:p w14:paraId="3F14E9DA" w14:textId="77777777" w:rsidR="00294FEB" w:rsidRPr="007279B3" w:rsidRDefault="00294FEB" w:rsidP="00294FEB">
      <w:pPr>
        <w:rPr>
          <w:rFonts w:asciiTheme="majorHAnsi" w:hAnsiTheme="majorHAnsi"/>
          <w:color w:val="000000" w:themeColor="text1"/>
        </w:rPr>
      </w:pPr>
    </w:p>
    <w:p w14:paraId="205C247E"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Sarah Buel &amp; Margaret Drew, Do Ask And Do Tell: Rethinking The Lawyer's Duty To Warn In Domestic Violence Cases, U of Cincinnati L Rev 447 (2006) (bspace) read Introduction</w:t>
      </w:r>
    </w:p>
    <w:p w14:paraId="09F0B684" w14:textId="77777777" w:rsidR="00294FEB" w:rsidRPr="007279B3" w:rsidRDefault="00294FEB" w:rsidP="00294FEB">
      <w:pPr>
        <w:pStyle w:val="ListParagraph"/>
        <w:rPr>
          <w:rFonts w:asciiTheme="majorHAnsi" w:hAnsiTheme="majorHAnsi"/>
          <w:color w:val="000000" w:themeColor="text1"/>
        </w:rPr>
      </w:pPr>
    </w:p>
    <w:p w14:paraId="72969707" w14:textId="77777777" w:rsidR="00294FEB" w:rsidRPr="007279B3" w:rsidRDefault="00294FEB" w:rsidP="00294FEB">
      <w:pPr>
        <w:widowControl w:val="0"/>
        <w:autoSpaceDE w:val="0"/>
        <w:autoSpaceDN w:val="0"/>
        <w:adjustRightInd w:val="0"/>
        <w:ind w:right="-1440"/>
        <w:jc w:val="both"/>
        <w:rPr>
          <w:rFonts w:asciiTheme="majorHAnsi" w:hAnsiTheme="majorHAnsi" w:cs="Times New Roman"/>
          <w:color w:val="000000" w:themeColor="text1"/>
        </w:rPr>
      </w:pPr>
      <w:r w:rsidRPr="007279B3">
        <w:rPr>
          <w:rFonts w:asciiTheme="majorHAnsi" w:hAnsiTheme="majorHAnsi" w:cs="Times New Roman"/>
          <w:i/>
          <w:color w:val="000000" w:themeColor="text1"/>
        </w:rPr>
        <w:t>Hawkins v. King Co</w:t>
      </w:r>
      <w:r w:rsidRPr="007279B3">
        <w:rPr>
          <w:rFonts w:asciiTheme="majorHAnsi" w:hAnsiTheme="majorHAnsi" w:cs="Times New Roman"/>
          <w:color w:val="000000" w:themeColor="text1"/>
        </w:rPr>
        <w:t xml:space="preserve">., </w:t>
      </w:r>
      <w:r w:rsidRPr="007279B3">
        <w:rPr>
          <w:rFonts w:asciiTheme="majorHAnsi" w:hAnsiTheme="majorHAnsi" w:cs="Times New Roman"/>
          <w:color w:val="000000" w:themeColor="text1"/>
          <w:szCs w:val="20"/>
        </w:rPr>
        <w:t>602 P.2d 361 (Wash. Ct. App. 1979)</w:t>
      </w:r>
      <w:r w:rsidRPr="007279B3">
        <w:rPr>
          <w:rFonts w:asciiTheme="majorHAnsi" w:hAnsiTheme="majorHAnsi" w:cs="Times New Roman"/>
          <w:color w:val="000000" w:themeColor="text1"/>
        </w:rPr>
        <w:t xml:space="preserve"> (bspace)</w:t>
      </w:r>
    </w:p>
    <w:p w14:paraId="162CE6C6" w14:textId="77777777" w:rsidR="00294FEB" w:rsidRPr="007279B3" w:rsidRDefault="00294FEB" w:rsidP="00294FEB">
      <w:pPr>
        <w:pStyle w:val="ListParagraph"/>
        <w:widowControl w:val="0"/>
        <w:autoSpaceDE w:val="0"/>
        <w:autoSpaceDN w:val="0"/>
        <w:adjustRightInd w:val="0"/>
        <w:ind w:right="-1440"/>
        <w:jc w:val="both"/>
        <w:rPr>
          <w:rFonts w:asciiTheme="majorHAnsi" w:hAnsiTheme="majorHAnsi" w:cs="Times New Roman"/>
          <w:color w:val="000000" w:themeColor="text1"/>
        </w:rPr>
      </w:pPr>
    </w:p>
    <w:p w14:paraId="539DFDE4" w14:textId="77777777" w:rsidR="00294FEB" w:rsidRPr="007279B3" w:rsidRDefault="00294FEB" w:rsidP="00294FEB">
      <w:pPr>
        <w:widowControl w:val="0"/>
        <w:autoSpaceDE w:val="0"/>
        <w:autoSpaceDN w:val="0"/>
        <w:adjustRightInd w:val="0"/>
        <w:ind w:right="-1440"/>
        <w:jc w:val="both"/>
        <w:rPr>
          <w:rFonts w:asciiTheme="majorHAnsi" w:hAnsiTheme="majorHAnsi" w:cs="Times New Roman"/>
          <w:color w:val="000000" w:themeColor="text1"/>
        </w:rPr>
      </w:pPr>
      <w:r w:rsidRPr="007279B3">
        <w:rPr>
          <w:rFonts w:asciiTheme="majorHAnsi" w:hAnsiTheme="majorHAnsi" w:cs="Times New Roman"/>
          <w:i/>
          <w:color w:val="000000" w:themeColor="text1"/>
        </w:rPr>
        <w:t>State v. Hansen</w:t>
      </w:r>
      <w:r w:rsidRPr="007279B3">
        <w:rPr>
          <w:rFonts w:asciiTheme="majorHAnsi" w:hAnsiTheme="majorHAnsi" w:cs="Times New Roman"/>
          <w:color w:val="000000" w:themeColor="text1"/>
        </w:rPr>
        <w:t>, 862 P.2d 117 (Wash. 1993) (bspace)</w:t>
      </w:r>
    </w:p>
    <w:p w14:paraId="6F21E400" w14:textId="77777777" w:rsidR="00294FEB" w:rsidRPr="007279B3" w:rsidRDefault="00294FEB" w:rsidP="00294FEB">
      <w:pPr>
        <w:rPr>
          <w:rFonts w:asciiTheme="majorHAnsi" w:hAnsiTheme="majorHAnsi" w:cs="Times New Roman"/>
          <w:color w:val="000000" w:themeColor="text1"/>
          <w:szCs w:val="20"/>
        </w:rPr>
      </w:pPr>
    </w:p>
    <w:p w14:paraId="0234BB7B" w14:textId="77777777" w:rsidR="00294FEB" w:rsidRPr="007279B3" w:rsidRDefault="00294FEB" w:rsidP="00294FEB">
      <w:pPr>
        <w:rPr>
          <w:rFonts w:asciiTheme="majorHAnsi" w:hAnsiTheme="majorHAnsi"/>
          <w:color w:val="000000" w:themeColor="text1"/>
        </w:rPr>
      </w:pPr>
      <w:r w:rsidRPr="007279B3">
        <w:rPr>
          <w:rFonts w:asciiTheme="majorHAnsi" w:hAnsiTheme="majorHAnsi" w:cs="Times New Roman"/>
          <w:i/>
          <w:color w:val="000000" w:themeColor="text1"/>
          <w:szCs w:val="20"/>
        </w:rPr>
        <w:t>People v. Dang</w:t>
      </w:r>
      <w:r w:rsidRPr="007279B3">
        <w:rPr>
          <w:rFonts w:asciiTheme="majorHAnsi" w:hAnsiTheme="majorHAnsi" w:cs="Times New Roman"/>
          <w:color w:val="000000" w:themeColor="text1"/>
          <w:szCs w:val="20"/>
        </w:rPr>
        <w:t>, 113 Cal. Rptr. 2d 763 (Cal. Dist. Ct. App. 2001) (bspace)</w:t>
      </w:r>
    </w:p>
    <w:p w14:paraId="3C090B51" w14:textId="77777777" w:rsidR="00294FEB" w:rsidRPr="007279B3" w:rsidRDefault="00294FEB" w:rsidP="00294FEB">
      <w:pPr>
        <w:rPr>
          <w:rFonts w:asciiTheme="majorHAnsi" w:hAnsiTheme="majorHAnsi"/>
          <w:color w:val="000000" w:themeColor="text1"/>
        </w:rPr>
      </w:pPr>
    </w:p>
    <w:p w14:paraId="4203EDA8" w14:textId="77777777" w:rsidR="00294FEB" w:rsidRPr="007279B3" w:rsidRDefault="00294FEB" w:rsidP="00294FEB">
      <w:pPr>
        <w:rPr>
          <w:rFonts w:asciiTheme="majorHAnsi" w:hAnsiTheme="majorHAnsi"/>
          <w:color w:val="000000" w:themeColor="text1"/>
        </w:rPr>
      </w:pPr>
      <w:r w:rsidRPr="007279B3">
        <w:rPr>
          <w:rFonts w:asciiTheme="majorHAnsi" w:hAnsiTheme="majorHAnsi" w:cs="Times New Roman"/>
          <w:i/>
          <w:color w:val="000000" w:themeColor="text1"/>
        </w:rPr>
        <w:t>People v. Newman</w:t>
      </w:r>
      <w:r w:rsidRPr="007279B3">
        <w:rPr>
          <w:rFonts w:asciiTheme="majorHAnsi" w:hAnsiTheme="majorHAnsi" w:cs="Times New Roman"/>
          <w:color w:val="000000" w:themeColor="text1"/>
        </w:rPr>
        <w:t>, 863 A.2d 321 (Md. 2004) (bspace) – read the Crime/Fraud Exception and Its Application, Conclusion, and Part A of Dissent.</w:t>
      </w:r>
    </w:p>
    <w:p w14:paraId="2BC11E99" w14:textId="77777777" w:rsidR="00294FEB" w:rsidRPr="007279B3" w:rsidRDefault="00294FEB" w:rsidP="00294FEB">
      <w:pPr>
        <w:rPr>
          <w:rFonts w:asciiTheme="majorHAnsi" w:hAnsiTheme="majorHAnsi"/>
          <w:color w:val="000000" w:themeColor="text1"/>
        </w:rPr>
      </w:pPr>
    </w:p>
    <w:p w14:paraId="2ABFA1E2" w14:textId="77777777" w:rsidR="00294FEB" w:rsidRPr="007279B3" w:rsidRDefault="00294FEB" w:rsidP="00294FEB">
      <w:pPr>
        <w:rPr>
          <w:rFonts w:asciiTheme="majorHAnsi" w:hAnsiTheme="majorHAnsi"/>
          <w:b/>
          <w:i/>
          <w:color w:val="000000" w:themeColor="text1"/>
        </w:rPr>
      </w:pPr>
      <w:r w:rsidRPr="007279B3">
        <w:rPr>
          <w:rFonts w:asciiTheme="majorHAnsi" w:hAnsiTheme="majorHAnsi"/>
          <w:b/>
          <w:i/>
          <w:color w:val="000000" w:themeColor="text1"/>
        </w:rPr>
        <w:t>Week 14</w:t>
      </w:r>
    </w:p>
    <w:p w14:paraId="14B22DD3" w14:textId="77777777" w:rsidR="00294FEB" w:rsidRPr="007279B3" w:rsidRDefault="00294FEB" w:rsidP="00294FEB">
      <w:pPr>
        <w:rPr>
          <w:rFonts w:asciiTheme="majorHAnsi" w:hAnsiTheme="majorHAnsi"/>
          <w:color w:val="000000" w:themeColor="text1"/>
        </w:rPr>
      </w:pPr>
    </w:p>
    <w:p w14:paraId="1294BF83"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Hypothetical Problem based on Goodmark’s 2007 article &amp; rules</w:t>
      </w:r>
    </w:p>
    <w:p w14:paraId="6F83BF7B" w14:textId="77777777" w:rsidR="00294FEB" w:rsidRPr="007279B3" w:rsidRDefault="00294FEB" w:rsidP="00294FEB">
      <w:pPr>
        <w:rPr>
          <w:rFonts w:asciiTheme="majorHAnsi" w:hAnsiTheme="majorHAnsi"/>
          <w:color w:val="000000" w:themeColor="text1"/>
        </w:rPr>
      </w:pPr>
    </w:p>
    <w:p w14:paraId="2C55C90C"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 Encouragement for attorneys to do 50 hours/year pro bono work to improve the law, the legal system or the legal profession</w:t>
      </w:r>
    </w:p>
    <w:p w14:paraId="720E9278"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 xml:space="preserve">Professional responsibility to provide legal services to those unable to pay </w:t>
      </w:r>
    </w:p>
    <w:p w14:paraId="3415FFE1"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Membership in Legal Services Organization</w:t>
      </w:r>
    </w:p>
    <w:p w14:paraId="4B061EFF"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Law Reform Activities Affecting Client Interests</w:t>
      </w:r>
    </w:p>
    <w:p w14:paraId="44E008AF"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 xml:space="preserve">Non-profit and court-annexed limited legal-services programs (unbundled services) </w:t>
      </w:r>
    </w:p>
    <w:p w14:paraId="61B9F890" w14:textId="77777777" w:rsidR="00294FEB" w:rsidRPr="007279B3" w:rsidRDefault="00294FEB" w:rsidP="00294FEB">
      <w:pPr>
        <w:rPr>
          <w:rFonts w:asciiTheme="majorHAnsi" w:hAnsiTheme="majorHAnsi"/>
          <w:color w:val="000000" w:themeColor="text1"/>
        </w:rPr>
      </w:pPr>
    </w:p>
    <w:p w14:paraId="3681A818"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Model rules 6.1, 6.3, 6.4, 6.5 (online)</w:t>
      </w:r>
    </w:p>
    <w:p w14:paraId="271A7D42" w14:textId="77777777" w:rsidR="00294FEB" w:rsidRPr="007279B3" w:rsidRDefault="00294FEB" w:rsidP="00294FEB">
      <w:pPr>
        <w:rPr>
          <w:rFonts w:asciiTheme="majorHAnsi" w:hAnsiTheme="majorHAnsi"/>
          <w:color w:val="000000" w:themeColor="text1"/>
        </w:rPr>
      </w:pPr>
    </w:p>
    <w:p w14:paraId="3E440CF7"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Ca. Rules 1-600, 1-650 (online)</w:t>
      </w:r>
    </w:p>
    <w:p w14:paraId="53B23E37" w14:textId="77777777" w:rsidR="00294FEB" w:rsidRPr="007279B3" w:rsidRDefault="00294FEB" w:rsidP="00294FEB">
      <w:pPr>
        <w:rPr>
          <w:rFonts w:asciiTheme="majorHAnsi" w:hAnsiTheme="majorHAnsi"/>
          <w:color w:val="000000" w:themeColor="text1"/>
        </w:rPr>
      </w:pPr>
    </w:p>
    <w:p w14:paraId="78099FB1" w14:textId="77777777" w:rsidR="00294FEB" w:rsidRPr="007279B3" w:rsidRDefault="00294FEB" w:rsidP="00294FEB">
      <w:pPr>
        <w:rPr>
          <w:rFonts w:asciiTheme="majorHAnsi" w:hAnsiTheme="majorHAnsi"/>
          <w:color w:val="000000" w:themeColor="text1"/>
        </w:rPr>
      </w:pPr>
      <w:r w:rsidRPr="007279B3">
        <w:rPr>
          <w:rFonts w:asciiTheme="majorHAnsi" w:hAnsiTheme="majorHAnsi"/>
          <w:color w:val="000000" w:themeColor="text1"/>
        </w:rPr>
        <w:t>Goodmark 2007 article, excerpt starting “Years Ago…” on page 1021 (bspace)</w:t>
      </w:r>
    </w:p>
    <w:p w14:paraId="24402FBB" w14:textId="77777777" w:rsidR="00BC5D16" w:rsidRPr="007279B3" w:rsidRDefault="004E79CB">
      <w:pPr>
        <w:rPr>
          <w:rFonts w:asciiTheme="majorHAnsi" w:hAnsiTheme="majorHAnsi"/>
        </w:rPr>
      </w:pPr>
    </w:p>
    <w:sectPr w:rsidR="00BC5D16" w:rsidRPr="007279B3" w:rsidSect="00085E62">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28CDB" w14:textId="77777777" w:rsidR="00D81BDD" w:rsidRDefault="00507118">
      <w:r>
        <w:separator/>
      </w:r>
    </w:p>
  </w:endnote>
  <w:endnote w:type="continuationSeparator" w:id="0">
    <w:p w14:paraId="34B5B6CC" w14:textId="77777777" w:rsidR="00D81BDD" w:rsidRDefault="00507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A35D4" w14:textId="77777777" w:rsidR="00991B6F" w:rsidRDefault="00294FEB" w:rsidP="008204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4FD644" w14:textId="77777777" w:rsidR="00991B6F" w:rsidRDefault="004E79CB" w:rsidP="007B02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00CD2" w14:textId="77777777" w:rsidR="00991B6F" w:rsidRDefault="00294FEB" w:rsidP="008204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79CB">
      <w:rPr>
        <w:rStyle w:val="PageNumber"/>
        <w:noProof/>
      </w:rPr>
      <w:t>3</w:t>
    </w:r>
    <w:r>
      <w:rPr>
        <w:rStyle w:val="PageNumber"/>
      </w:rPr>
      <w:fldChar w:fldCharType="end"/>
    </w:r>
  </w:p>
  <w:p w14:paraId="23F898ED" w14:textId="77777777" w:rsidR="00991B6F" w:rsidRDefault="004E79CB" w:rsidP="007B02B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3D819" w14:textId="77777777" w:rsidR="00D81BDD" w:rsidRDefault="00507118">
      <w:r>
        <w:separator/>
      </w:r>
    </w:p>
  </w:footnote>
  <w:footnote w:type="continuationSeparator" w:id="0">
    <w:p w14:paraId="65E91742" w14:textId="77777777" w:rsidR="00D81BDD" w:rsidRDefault="0050711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235B"/>
    <w:multiLevelType w:val="hybridMultilevel"/>
    <w:tmpl w:val="D9289624"/>
    <w:lvl w:ilvl="0" w:tplc="466897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1074A"/>
    <w:multiLevelType w:val="hybridMultilevel"/>
    <w:tmpl w:val="A644F66E"/>
    <w:lvl w:ilvl="0" w:tplc="A30EE5B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C3C01"/>
    <w:multiLevelType w:val="hybridMultilevel"/>
    <w:tmpl w:val="3A924BE8"/>
    <w:lvl w:ilvl="0" w:tplc="B26673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245FD2"/>
    <w:multiLevelType w:val="hybridMultilevel"/>
    <w:tmpl w:val="43545EFE"/>
    <w:lvl w:ilvl="0" w:tplc="2EF24E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936307"/>
    <w:multiLevelType w:val="hybridMultilevel"/>
    <w:tmpl w:val="8FFAEFB8"/>
    <w:lvl w:ilvl="0" w:tplc="BBAE844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723926"/>
    <w:multiLevelType w:val="hybridMultilevel"/>
    <w:tmpl w:val="E6C0F746"/>
    <w:lvl w:ilvl="0" w:tplc="54D2578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A15814"/>
    <w:multiLevelType w:val="hybridMultilevel"/>
    <w:tmpl w:val="94C83202"/>
    <w:lvl w:ilvl="0" w:tplc="308CE18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C14633"/>
    <w:multiLevelType w:val="hybridMultilevel"/>
    <w:tmpl w:val="E5384008"/>
    <w:lvl w:ilvl="0" w:tplc="1F984CE2">
      <w:start w:val="7925"/>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905BA7"/>
    <w:multiLevelType w:val="hybridMultilevel"/>
    <w:tmpl w:val="D5C8D546"/>
    <w:lvl w:ilvl="0" w:tplc="5C2425D6">
      <w:numFmt w:val="bullet"/>
      <w:lvlText w:val=""/>
      <w:lvlJc w:val="left"/>
      <w:pPr>
        <w:ind w:left="720" w:hanging="360"/>
      </w:pPr>
      <w:rPr>
        <w:rFonts w:ascii="Symbol" w:eastAsiaTheme="minorHAnsi" w:hAnsi="Symbol" w:cs="Courie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937D30"/>
    <w:multiLevelType w:val="hybridMultilevel"/>
    <w:tmpl w:val="5C32769A"/>
    <w:lvl w:ilvl="0" w:tplc="7758F2E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4E1DF6"/>
    <w:multiLevelType w:val="hybridMultilevel"/>
    <w:tmpl w:val="84BEFB34"/>
    <w:lvl w:ilvl="0" w:tplc="53B2569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102D44"/>
    <w:multiLevelType w:val="hybridMultilevel"/>
    <w:tmpl w:val="76B20D76"/>
    <w:lvl w:ilvl="0" w:tplc="EEB40C34">
      <w:start w:val="792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084EBE"/>
    <w:multiLevelType w:val="hybridMultilevel"/>
    <w:tmpl w:val="2E8E4D52"/>
    <w:lvl w:ilvl="0" w:tplc="876CD4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4609FF"/>
    <w:multiLevelType w:val="hybridMultilevel"/>
    <w:tmpl w:val="FAFC3C4A"/>
    <w:lvl w:ilvl="0" w:tplc="4956E3A6">
      <w:start w:val="6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2701C5"/>
    <w:multiLevelType w:val="hybridMultilevel"/>
    <w:tmpl w:val="54302F26"/>
    <w:lvl w:ilvl="0" w:tplc="4A0E6AD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2E299F"/>
    <w:multiLevelType w:val="hybridMultilevel"/>
    <w:tmpl w:val="CB344360"/>
    <w:lvl w:ilvl="0" w:tplc="6E4E401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4507DF"/>
    <w:multiLevelType w:val="hybridMultilevel"/>
    <w:tmpl w:val="3A96E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D124ED"/>
    <w:multiLevelType w:val="hybridMultilevel"/>
    <w:tmpl w:val="322E75C0"/>
    <w:lvl w:ilvl="0" w:tplc="B0DA52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024980"/>
    <w:multiLevelType w:val="hybridMultilevel"/>
    <w:tmpl w:val="218A1786"/>
    <w:lvl w:ilvl="0" w:tplc="DBE0D69E">
      <w:start w:val="510"/>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C77684"/>
    <w:multiLevelType w:val="hybridMultilevel"/>
    <w:tmpl w:val="6EF41C74"/>
    <w:lvl w:ilvl="0" w:tplc="33DE391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7A77C4"/>
    <w:multiLevelType w:val="hybridMultilevel"/>
    <w:tmpl w:val="99E445EE"/>
    <w:lvl w:ilvl="0" w:tplc="9CB0B8BC">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DD0BB7"/>
    <w:multiLevelType w:val="hybridMultilevel"/>
    <w:tmpl w:val="49D26544"/>
    <w:lvl w:ilvl="0" w:tplc="F818566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116316"/>
    <w:multiLevelType w:val="hybridMultilevel"/>
    <w:tmpl w:val="87D477E8"/>
    <w:lvl w:ilvl="0" w:tplc="13307D7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777E18"/>
    <w:multiLevelType w:val="hybridMultilevel"/>
    <w:tmpl w:val="23A60946"/>
    <w:lvl w:ilvl="0" w:tplc="43A214E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CD0BA9"/>
    <w:multiLevelType w:val="hybridMultilevel"/>
    <w:tmpl w:val="D1343F96"/>
    <w:lvl w:ilvl="0" w:tplc="9D58E1B8">
      <w:start w:val="792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5F1DFB"/>
    <w:multiLevelType w:val="hybridMultilevel"/>
    <w:tmpl w:val="4A2CD05C"/>
    <w:lvl w:ilvl="0" w:tplc="D23A971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C539EE"/>
    <w:multiLevelType w:val="hybridMultilevel"/>
    <w:tmpl w:val="91F4A4A8"/>
    <w:lvl w:ilvl="0" w:tplc="005ACAD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6827C6"/>
    <w:multiLevelType w:val="hybridMultilevel"/>
    <w:tmpl w:val="60669590"/>
    <w:lvl w:ilvl="0" w:tplc="407E8C8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B52A1A"/>
    <w:multiLevelType w:val="hybridMultilevel"/>
    <w:tmpl w:val="8000EAF0"/>
    <w:lvl w:ilvl="0" w:tplc="87344F8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24"/>
  </w:num>
  <w:num w:numId="4">
    <w:abstractNumId w:val="6"/>
  </w:num>
  <w:num w:numId="5">
    <w:abstractNumId w:val="13"/>
  </w:num>
  <w:num w:numId="6">
    <w:abstractNumId w:val="23"/>
  </w:num>
  <w:num w:numId="7">
    <w:abstractNumId w:val="9"/>
  </w:num>
  <w:num w:numId="8">
    <w:abstractNumId w:val="2"/>
  </w:num>
  <w:num w:numId="9">
    <w:abstractNumId w:val="3"/>
  </w:num>
  <w:num w:numId="10">
    <w:abstractNumId w:val="4"/>
  </w:num>
  <w:num w:numId="11">
    <w:abstractNumId w:val="14"/>
  </w:num>
  <w:num w:numId="12">
    <w:abstractNumId w:val="0"/>
  </w:num>
  <w:num w:numId="13">
    <w:abstractNumId w:val="21"/>
  </w:num>
  <w:num w:numId="14">
    <w:abstractNumId w:val="28"/>
  </w:num>
  <w:num w:numId="15">
    <w:abstractNumId w:val="22"/>
  </w:num>
  <w:num w:numId="16">
    <w:abstractNumId w:val="10"/>
  </w:num>
  <w:num w:numId="17">
    <w:abstractNumId w:val="25"/>
  </w:num>
  <w:num w:numId="18">
    <w:abstractNumId w:val="1"/>
  </w:num>
  <w:num w:numId="19">
    <w:abstractNumId w:val="26"/>
  </w:num>
  <w:num w:numId="20">
    <w:abstractNumId w:val="12"/>
  </w:num>
  <w:num w:numId="21">
    <w:abstractNumId w:val="5"/>
  </w:num>
  <w:num w:numId="22">
    <w:abstractNumId w:val="15"/>
  </w:num>
  <w:num w:numId="23">
    <w:abstractNumId w:val="27"/>
  </w:num>
  <w:num w:numId="24">
    <w:abstractNumId w:val="18"/>
  </w:num>
  <w:num w:numId="25">
    <w:abstractNumId w:val="8"/>
  </w:num>
  <w:num w:numId="26">
    <w:abstractNumId w:val="19"/>
  </w:num>
  <w:num w:numId="27">
    <w:abstractNumId w:val="17"/>
  </w:num>
  <w:num w:numId="28">
    <w:abstractNumId w:val="2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FEB"/>
    <w:rsid w:val="00294FEB"/>
    <w:rsid w:val="003D7A27"/>
    <w:rsid w:val="0049419C"/>
    <w:rsid w:val="004E79CB"/>
    <w:rsid w:val="00507118"/>
    <w:rsid w:val="00674791"/>
    <w:rsid w:val="007279B3"/>
    <w:rsid w:val="00D81BDD"/>
    <w:rsid w:val="00DA79E8"/>
    <w:rsid w:val="00DE1E1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3BA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4FEB"/>
    <w:rPr>
      <w:color w:val="0000FF" w:themeColor="hyperlink"/>
      <w:u w:val="single"/>
    </w:rPr>
  </w:style>
  <w:style w:type="paragraph" w:styleId="ListParagraph">
    <w:name w:val="List Paragraph"/>
    <w:basedOn w:val="Normal"/>
    <w:uiPriority w:val="34"/>
    <w:qFormat/>
    <w:rsid w:val="00294FEB"/>
    <w:pPr>
      <w:ind w:left="720"/>
      <w:contextualSpacing/>
    </w:pPr>
  </w:style>
  <w:style w:type="paragraph" w:styleId="HTMLPreformatted">
    <w:name w:val="HTML Preformatted"/>
    <w:basedOn w:val="Normal"/>
    <w:link w:val="HTMLPreformattedChar"/>
    <w:uiPriority w:val="99"/>
    <w:rsid w:val="00294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294FEB"/>
    <w:rPr>
      <w:rFonts w:ascii="Courier" w:eastAsiaTheme="minorEastAsia" w:hAnsi="Courier" w:cs="Courier"/>
      <w:sz w:val="20"/>
      <w:szCs w:val="20"/>
      <w:lang w:eastAsia="ja-JP"/>
    </w:rPr>
  </w:style>
  <w:style w:type="paragraph" w:styleId="NormalWeb">
    <w:name w:val="Normal (Web)"/>
    <w:basedOn w:val="Normal"/>
    <w:uiPriority w:val="99"/>
    <w:rsid w:val="00294FEB"/>
    <w:pPr>
      <w:spacing w:beforeLines="1" w:afterLines="1"/>
    </w:pPr>
    <w:rPr>
      <w:rFonts w:ascii="Times" w:eastAsia="Times New Roman" w:hAnsi="Times" w:cs="Times New Roman"/>
      <w:sz w:val="20"/>
      <w:szCs w:val="20"/>
    </w:rPr>
  </w:style>
  <w:style w:type="paragraph" w:styleId="Footer">
    <w:name w:val="footer"/>
    <w:basedOn w:val="Normal"/>
    <w:link w:val="FooterChar"/>
    <w:uiPriority w:val="99"/>
    <w:unhideWhenUsed/>
    <w:rsid w:val="00294FEB"/>
    <w:pPr>
      <w:tabs>
        <w:tab w:val="center" w:pos="4320"/>
        <w:tab w:val="right" w:pos="8640"/>
      </w:tabs>
    </w:pPr>
  </w:style>
  <w:style w:type="character" w:customStyle="1" w:styleId="FooterChar">
    <w:name w:val="Footer Char"/>
    <w:basedOn w:val="DefaultParagraphFont"/>
    <w:link w:val="Footer"/>
    <w:uiPriority w:val="99"/>
    <w:rsid w:val="00294FEB"/>
    <w:rPr>
      <w:rFonts w:eastAsiaTheme="minorEastAsia"/>
      <w:lang w:eastAsia="ja-JP"/>
    </w:rPr>
  </w:style>
  <w:style w:type="character" w:styleId="PageNumber">
    <w:name w:val="page number"/>
    <w:basedOn w:val="DefaultParagraphFont"/>
    <w:uiPriority w:val="99"/>
    <w:semiHidden/>
    <w:unhideWhenUsed/>
    <w:rsid w:val="00294FE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4FEB"/>
    <w:rPr>
      <w:color w:val="0000FF" w:themeColor="hyperlink"/>
      <w:u w:val="single"/>
    </w:rPr>
  </w:style>
  <w:style w:type="paragraph" w:styleId="ListParagraph">
    <w:name w:val="List Paragraph"/>
    <w:basedOn w:val="Normal"/>
    <w:uiPriority w:val="34"/>
    <w:qFormat/>
    <w:rsid w:val="00294FEB"/>
    <w:pPr>
      <w:ind w:left="720"/>
      <w:contextualSpacing/>
    </w:pPr>
  </w:style>
  <w:style w:type="paragraph" w:styleId="HTMLPreformatted">
    <w:name w:val="HTML Preformatted"/>
    <w:basedOn w:val="Normal"/>
    <w:link w:val="HTMLPreformattedChar"/>
    <w:uiPriority w:val="99"/>
    <w:rsid w:val="00294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294FEB"/>
    <w:rPr>
      <w:rFonts w:ascii="Courier" w:eastAsiaTheme="minorEastAsia" w:hAnsi="Courier" w:cs="Courier"/>
      <w:sz w:val="20"/>
      <w:szCs w:val="20"/>
      <w:lang w:eastAsia="ja-JP"/>
    </w:rPr>
  </w:style>
  <w:style w:type="paragraph" w:styleId="NormalWeb">
    <w:name w:val="Normal (Web)"/>
    <w:basedOn w:val="Normal"/>
    <w:uiPriority w:val="99"/>
    <w:rsid w:val="00294FEB"/>
    <w:pPr>
      <w:spacing w:beforeLines="1" w:afterLines="1"/>
    </w:pPr>
    <w:rPr>
      <w:rFonts w:ascii="Times" w:eastAsia="Times New Roman" w:hAnsi="Times" w:cs="Times New Roman"/>
      <w:sz w:val="20"/>
      <w:szCs w:val="20"/>
    </w:rPr>
  </w:style>
  <w:style w:type="paragraph" w:styleId="Footer">
    <w:name w:val="footer"/>
    <w:basedOn w:val="Normal"/>
    <w:link w:val="FooterChar"/>
    <w:uiPriority w:val="99"/>
    <w:unhideWhenUsed/>
    <w:rsid w:val="00294FEB"/>
    <w:pPr>
      <w:tabs>
        <w:tab w:val="center" w:pos="4320"/>
        <w:tab w:val="right" w:pos="8640"/>
      </w:tabs>
    </w:pPr>
  </w:style>
  <w:style w:type="character" w:customStyle="1" w:styleId="FooterChar">
    <w:name w:val="Footer Char"/>
    <w:basedOn w:val="DefaultParagraphFont"/>
    <w:link w:val="Footer"/>
    <w:uiPriority w:val="99"/>
    <w:rsid w:val="00294FEB"/>
    <w:rPr>
      <w:rFonts w:eastAsiaTheme="minorEastAsia"/>
      <w:lang w:eastAsia="ja-JP"/>
    </w:rPr>
  </w:style>
  <w:style w:type="character" w:styleId="PageNumber">
    <w:name w:val="page number"/>
    <w:basedOn w:val="DefaultParagraphFont"/>
    <w:uiPriority w:val="99"/>
    <w:semiHidden/>
    <w:unhideWhenUsed/>
    <w:rsid w:val="00294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thics.calbar.ca.gov/"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2963</Words>
  <Characters>16895</Characters>
  <Application>Microsoft Macintosh Word</Application>
  <DocSecurity>0</DocSecurity>
  <Lines>140</Lines>
  <Paragraphs>39</Paragraphs>
  <ScaleCrop>false</ScaleCrop>
  <Company>UC BERKELEY</Company>
  <LinksUpToDate>false</LinksUpToDate>
  <CharactersWithSpaces>19819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Lemon</dc:creator>
  <cp:keywords/>
  <cp:lastModifiedBy>Nancy Lemon</cp:lastModifiedBy>
  <cp:revision>5</cp:revision>
  <dcterms:created xsi:type="dcterms:W3CDTF">2013-11-09T21:36:00Z</dcterms:created>
  <dcterms:modified xsi:type="dcterms:W3CDTF">2013-11-09T21:38:00Z</dcterms:modified>
</cp:coreProperties>
</file>