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ADCA0" w14:textId="77777777" w:rsidR="006779EB" w:rsidRDefault="006779EB" w:rsidP="006779EB">
      <w:pPr>
        <w:rPr>
          <w:sz w:val="28"/>
        </w:rPr>
      </w:pPr>
    </w:p>
    <w:p w14:paraId="161ECF7A" w14:textId="77777777" w:rsidR="006779EB" w:rsidRDefault="006779EB" w:rsidP="006779EB">
      <w:pPr>
        <w:jc w:val="center"/>
        <w:rPr>
          <w:sz w:val="32"/>
        </w:rPr>
      </w:pPr>
      <w:r w:rsidRPr="00DA0D72">
        <w:rPr>
          <w:sz w:val="32"/>
        </w:rPr>
        <w:t>SYLLABUS</w:t>
      </w:r>
    </w:p>
    <w:p w14:paraId="370A3DA2" w14:textId="77777777" w:rsidR="006779EB" w:rsidRDefault="006779EB" w:rsidP="006779EB">
      <w:pPr>
        <w:jc w:val="center"/>
        <w:rPr>
          <w:sz w:val="32"/>
        </w:rPr>
      </w:pPr>
      <w:r>
        <w:rPr>
          <w:sz w:val="32"/>
        </w:rPr>
        <w:t>Topics in Sports Law</w:t>
      </w:r>
    </w:p>
    <w:p w14:paraId="1EEB402D" w14:textId="77777777" w:rsidR="006779EB" w:rsidRDefault="006779EB" w:rsidP="006779EB">
      <w:pPr>
        <w:jc w:val="center"/>
        <w:rPr>
          <w:sz w:val="32"/>
        </w:rPr>
      </w:pPr>
      <w:r>
        <w:rPr>
          <w:sz w:val="32"/>
        </w:rPr>
        <w:t>255.6</w:t>
      </w:r>
    </w:p>
    <w:p w14:paraId="4209CD66" w14:textId="77777777" w:rsidR="006779EB" w:rsidRDefault="006779EB" w:rsidP="006779EB">
      <w:pPr>
        <w:jc w:val="center"/>
        <w:rPr>
          <w:sz w:val="32"/>
        </w:rPr>
      </w:pPr>
      <w:r>
        <w:rPr>
          <w:sz w:val="32"/>
        </w:rPr>
        <w:t>Spring 2012</w:t>
      </w:r>
    </w:p>
    <w:p w14:paraId="0D198DBC" w14:textId="77777777" w:rsidR="006779EB" w:rsidRDefault="006779EB" w:rsidP="006779EB">
      <w:pPr>
        <w:jc w:val="center"/>
        <w:rPr>
          <w:sz w:val="32"/>
        </w:rPr>
      </w:pPr>
      <w:r>
        <w:rPr>
          <w:sz w:val="32"/>
        </w:rPr>
        <w:t>Professor Eisenhardt</w:t>
      </w:r>
    </w:p>
    <w:p w14:paraId="285F2A4F" w14:textId="77777777" w:rsidR="006779EB" w:rsidRDefault="006779EB" w:rsidP="006779EB">
      <w:pPr>
        <w:jc w:val="center"/>
        <w:rPr>
          <w:sz w:val="32"/>
        </w:rPr>
      </w:pPr>
    </w:p>
    <w:p w14:paraId="65E6D756" w14:textId="77777777" w:rsidR="006779EB" w:rsidRDefault="006779EB" w:rsidP="006779EB">
      <w:pPr>
        <w:jc w:val="center"/>
        <w:rPr>
          <w:sz w:val="32"/>
        </w:rPr>
      </w:pPr>
    </w:p>
    <w:p w14:paraId="63DFF8C0" w14:textId="77777777" w:rsidR="006779EB" w:rsidRPr="00363E6D" w:rsidRDefault="006779EB" w:rsidP="006779EB">
      <w:pPr>
        <w:jc w:val="center"/>
        <w:rPr>
          <w:b/>
          <w:sz w:val="32"/>
          <w:u w:val="single"/>
        </w:rPr>
      </w:pPr>
    </w:p>
    <w:tbl>
      <w:tblPr>
        <w:tblStyle w:val="TableGrid"/>
        <w:tblW w:w="9738" w:type="dxa"/>
        <w:tblLook w:val="04A0" w:firstRow="1" w:lastRow="0" w:firstColumn="1" w:lastColumn="0" w:noHBand="0" w:noVBand="1"/>
      </w:tblPr>
      <w:tblGrid>
        <w:gridCol w:w="1368"/>
        <w:gridCol w:w="1080"/>
        <w:gridCol w:w="7290"/>
      </w:tblGrid>
      <w:tr w:rsidR="006779EB" w:rsidRPr="00363E6D" w14:paraId="0912F7BA" w14:textId="77777777" w:rsidTr="006779EB">
        <w:tc>
          <w:tcPr>
            <w:tcW w:w="1368" w:type="dxa"/>
          </w:tcPr>
          <w:p w14:paraId="2256B6EB" w14:textId="77777777" w:rsidR="006779EB" w:rsidRPr="00363E6D" w:rsidRDefault="006779EB" w:rsidP="006779EB">
            <w:pPr>
              <w:rPr>
                <w:b/>
                <w:sz w:val="32"/>
                <w:u w:val="single"/>
              </w:rPr>
            </w:pPr>
            <w:r w:rsidRPr="00363E6D">
              <w:rPr>
                <w:b/>
                <w:sz w:val="32"/>
                <w:u w:val="single"/>
              </w:rPr>
              <w:t>Class</w:t>
            </w:r>
          </w:p>
        </w:tc>
        <w:tc>
          <w:tcPr>
            <w:tcW w:w="1080" w:type="dxa"/>
          </w:tcPr>
          <w:p w14:paraId="73B40EB0" w14:textId="77777777" w:rsidR="006779EB" w:rsidRPr="00363E6D" w:rsidRDefault="006779EB" w:rsidP="006779EB">
            <w:pPr>
              <w:rPr>
                <w:b/>
                <w:sz w:val="32"/>
                <w:u w:val="single"/>
              </w:rPr>
            </w:pPr>
            <w:r>
              <w:rPr>
                <w:b/>
                <w:sz w:val="32"/>
                <w:u w:val="single"/>
              </w:rPr>
              <w:t>Date</w:t>
            </w:r>
          </w:p>
        </w:tc>
        <w:tc>
          <w:tcPr>
            <w:tcW w:w="7290" w:type="dxa"/>
          </w:tcPr>
          <w:p w14:paraId="5DA4746A" w14:textId="77777777" w:rsidR="006779EB" w:rsidRPr="00363E6D" w:rsidRDefault="006779EB" w:rsidP="006779EB">
            <w:pPr>
              <w:jc w:val="center"/>
              <w:rPr>
                <w:b/>
                <w:sz w:val="32"/>
                <w:u w:val="single"/>
              </w:rPr>
            </w:pPr>
            <w:r w:rsidRPr="00363E6D">
              <w:rPr>
                <w:b/>
                <w:sz w:val="32"/>
                <w:u w:val="single"/>
              </w:rPr>
              <w:t>Assignment</w:t>
            </w:r>
          </w:p>
        </w:tc>
      </w:tr>
      <w:tr w:rsidR="006779EB" w14:paraId="44A7C17C" w14:textId="77777777" w:rsidTr="006779EB">
        <w:tc>
          <w:tcPr>
            <w:tcW w:w="1368" w:type="dxa"/>
          </w:tcPr>
          <w:p w14:paraId="37B65FA8" w14:textId="77777777" w:rsidR="006779EB" w:rsidRPr="00363E6D" w:rsidRDefault="006779EB" w:rsidP="006779EB">
            <w:r w:rsidRPr="00363E6D">
              <w:t>Class 1</w:t>
            </w:r>
          </w:p>
        </w:tc>
        <w:tc>
          <w:tcPr>
            <w:tcW w:w="1080" w:type="dxa"/>
          </w:tcPr>
          <w:p w14:paraId="6A8075A3" w14:textId="77777777" w:rsidR="006779EB" w:rsidRPr="00363E6D" w:rsidRDefault="006779EB" w:rsidP="006779EB">
            <w:r>
              <w:t>Jan 12</w:t>
            </w:r>
          </w:p>
        </w:tc>
        <w:tc>
          <w:tcPr>
            <w:tcW w:w="7290" w:type="dxa"/>
          </w:tcPr>
          <w:p w14:paraId="5D2DE49A" w14:textId="77777777" w:rsidR="006779EB" w:rsidRPr="00363E6D" w:rsidRDefault="006779EB" w:rsidP="006779EB">
            <w:r>
              <w:t>Chap. 1-- pp. 1-21</w:t>
            </w:r>
            <w:r w:rsidRPr="00363E6D">
              <w:t xml:space="preserve"> &amp; Chap. 6 pp. 397-406</w:t>
            </w:r>
          </w:p>
        </w:tc>
      </w:tr>
      <w:tr w:rsidR="006779EB" w14:paraId="0760E532" w14:textId="77777777" w:rsidTr="006779EB">
        <w:tc>
          <w:tcPr>
            <w:tcW w:w="1368" w:type="dxa"/>
          </w:tcPr>
          <w:p w14:paraId="72B68E35" w14:textId="77777777" w:rsidR="006779EB" w:rsidRPr="00363E6D" w:rsidRDefault="006779EB" w:rsidP="006779EB">
            <w:r>
              <w:t>Class 2</w:t>
            </w:r>
          </w:p>
        </w:tc>
        <w:tc>
          <w:tcPr>
            <w:tcW w:w="1080" w:type="dxa"/>
          </w:tcPr>
          <w:p w14:paraId="607A7120" w14:textId="77777777" w:rsidR="006779EB" w:rsidRPr="004D770B" w:rsidRDefault="006779EB" w:rsidP="006779EB">
            <w:r>
              <w:t>Jan 19</w:t>
            </w:r>
          </w:p>
        </w:tc>
        <w:tc>
          <w:tcPr>
            <w:tcW w:w="7290" w:type="dxa"/>
          </w:tcPr>
          <w:p w14:paraId="5452CBCA" w14:textId="502F1272" w:rsidR="006779EB" w:rsidRPr="00DC18FA" w:rsidRDefault="006779EB" w:rsidP="002D5B5E">
            <w:r>
              <w:t xml:space="preserve">Chap. 6-- </w:t>
            </w:r>
            <w:r w:rsidRPr="00363E6D">
              <w:t>pp. 406-421</w:t>
            </w:r>
            <w:r w:rsidR="00DC18FA">
              <w:t xml:space="preserve">. </w:t>
            </w:r>
            <w:r w:rsidR="006A498E">
              <w:t>Please also r</w:t>
            </w:r>
            <w:r w:rsidR="00DC18FA">
              <w:t xml:space="preserve">ead </w:t>
            </w:r>
            <w:r w:rsidR="00DC18FA" w:rsidRPr="00DC18FA">
              <w:rPr>
                <w:i/>
              </w:rPr>
              <w:t>Sims</w:t>
            </w:r>
            <w:r w:rsidR="00DC18FA">
              <w:rPr>
                <w:i/>
              </w:rPr>
              <w:t xml:space="preserve"> Snowboard v. Kelly, </w:t>
            </w:r>
            <w:r w:rsidR="00DC18FA">
              <w:t>uploaded to bSpace, as we</w:t>
            </w:r>
            <w:r w:rsidR="007501B2">
              <w:t>ll as Cal. Civ. Code sec. 3423</w:t>
            </w:r>
            <w:r w:rsidR="00DC18FA">
              <w:t xml:space="preserve">).  </w:t>
            </w:r>
            <w:r w:rsidR="002D5B5E" w:rsidRPr="002D5B5E">
              <w:rPr>
                <w:i/>
              </w:rPr>
              <w:t>Sims</w:t>
            </w:r>
            <w:r w:rsidR="002D5B5E">
              <w:t xml:space="preserve"> is in the “Cases” folder, and CC 3423 is in the “Statutes” folder. </w:t>
            </w:r>
            <w:r w:rsidR="00DC18FA">
              <w:t xml:space="preserve">I also recommend reading </w:t>
            </w:r>
            <w:r w:rsidR="00DC18FA" w:rsidRPr="006A498E">
              <w:rPr>
                <w:i/>
              </w:rPr>
              <w:t>Machen v. Johanssen</w:t>
            </w:r>
            <w:r w:rsidR="006A498E">
              <w:t>.,</w:t>
            </w:r>
            <w:r w:rsidR="00DC18FA">
              <w:t xml:space="preserve"> </w:t>
            </w:r>
            <w:r w:rsidR="00DC18FA" w:rsidRPr="00DC18FA">
              <w:rPr>
                <w:i/>
              </w:rPr>
              <w:t>Lumley v. Wagner</w:t>
            </w:r>
            <w:r w:rsidR="00DC18FA">
              <w:t xml:space="preserve"> and the </w:t>
            </w:r>
            <w:r w:rsidR="006A498E">
              <w:t xml:space="preserve">later </w:t>
            </w:r>
            <w:r w:rsidR="00DC18FA">
              <w:t xml:space="preserve">Ohio decision </w:t>
            </w:r>
            <w:r w:rsidR="006A498E">
              <w:t>in Lajoie</w:t>
            </w:r>
            <w:r w:rsidR="00174DC7">
              <w:t>.  These cases have been uploaded to bSpace</w:t>
            </w:r>
            <w:r w:rsidR="006A498E">
              <w:t xml:space="preserve"> </w:t>
            </w:r>
            <w:r w:rsidR="00DC18FA">
              <w:t>are in bSpace</w:t>
            </w:r>
            <w:r w:rsidR="00174DC7">
              <w:t xml:space="preserve"> into the folder entitled “Cases</w:t>
            </w:r>
            <w:r w:rsidR="006A498E">
              <w:t>.</w:t>
            </w:r>
            <w:r w:rsidR="00174DC7">
              <w:t>”</w:t>
            </w:r>
            <w:r w:rsidR="006A498E">
              <w:t xml:space="preserve"> These are</w:t>
            </w:r>
            <w:r w:rsidR="00DC18FA">
              <w:t xml:space="preserve"> optional </w:t>
            </w:r>
            <w:r w:rsidR="006A498E">
              <w:t>but</w:t>
            </w:r>
            <w:r w:rsidR="00174DC7">
              <w:t xml:space="preserve"> </w:t>
            </w:r>
            <w:r w:rsidR="00DC18FA">
              <w:t>interesting reading.</w:t>
            </w:r>
            <w:r w:rsidR="00FD3984">
              <w:t xml:space="preserve">  </w:t>
            </w:r>
            <w:r w:rsidR="00AF0A12">
              <w:t xml:space="preserve">The </w:t>
            </w:r>
            <w:r w:rsidR="00AF0A12" w:rsidRPr="00AF0A12">
              <w:rPr>
                <w:i/>
              </w:rPr>
              <w:t>Shaw</w:t>
            </w:r>
            <w:r w:rsidR="00AF0A12">
              <w:t xml:space="preserve"> case, summarized on p. 416, </w:t>
            </w:r>
            <w:r w:rsidR="006A498E">
              <w:t>can be read in full on p. 559</w:t>
            </w:r>
            <w:r w:rsidR="00AF0A12">
              <w:t xml:space="preserve">.  </w:t>
            </w:r>
          </w:p>
        </w:tc>
      </w:tr>
      <w:tr w:rsidR="006779EB" w14:paraId="43E0E78D" w14:textId="77777777" w:rsidTr="006779EB">
        <w:tc>
          <w:tcPr>
            <w:tcW w:w="1368" w:type="dxa"/>
          </w:tcPr>
          <w:p w14:paraId="2B45565A" w14:textId="77777777" w:rsidR="006779EB" w:rsidRPr="00363E6D" w:rsidRDefault="006779EB" w:rsidP="006779EB">
            <w:r>
              <w:t>Class 3</w:t>
            </w:r>
          </w:p>
        </w:tc>
        <w:tc>
          <w:tcPr>
            <w:tcW w:w="1080" w:type="dxa"/>
          </w:tcPr>
          <w:p w14:paraId="1E0E9476" w14:textId="77777777" w:rsidR="006779EB" w:rsidRPr="004D770B" w:rsidRDefault="006779EB" w:rsidP="006779EB">
            <w:r>
              <w:t>Jan 26</w:t>
            </w:r>
          </w:p>
        </w:tc>
        <w:tc>
          <w:tcPr>
            <w:tcW w:w="7290" w:type="dxa"/>
          </w:tcPr>
          <w:p w14:paraId="30623D92" w14:textId="6529A0E1" w:rsidR="006779EB" w:rsidRDefault="006779EB" w:rsidP="00851091">
            <w:pPr>
              <w:rPr>
                <w:sz w:val="32"/>
              </w:rPr>
            </w:pPr>
            <w:r>
              <w:t xml:space="preserve">Chap. 6-- </w:t>
            </w:r>
            <w:r w:rsidR="00851091">
              <w:t>pp. 421-436</w:t>
            </w:r>
            <w:r w:rsidR="006B41CA">
              <w:t>; Chap. 3—pp. 235-253.  Chap. 6 is an introduction of the applic</w:t>
            </w:r>
            <w:r w:rsidR="00851091">
              <w:t>ation of the Antitrust laws to professional s</w:t>
            </w:r>
            <w:r w:rsidR="006B41CA">
              <w:t>ports.</w:t>
            </w:r>
            <w:r w:rsidR="006A498E">
              <w:t xml:space="preserve"> </w:t>
            </w:r>
            <w:r w:rsidR="007501B2">
              <w:t xml:space="preserve">Chapter 3, pp. 235-253 </w:t>
            </w:r>
            <w:r w:rsidR="006B41CA">
              <w:t xml:space="preserve">deals with the </w:t>
            </w:r>
            <w:r w:rsidR="00851091">
              <w:t>parallel</w:t>
            </w:r>
            <w:r w:rsidR="006B41CA">
              <w:t xml:space="preserve"> question of antitrust application to college sports. </w:t>
            </w:r>
          </w:p>
        </w:tc>
      </w:tr>
      <w:tr w:rsidR="006779EB" w14:paraId="50071978" w14:textId="77777777" w:rsidTr="006779EB">
        <w:tc>
          <w:tcPr>
            <w:tcW w:w="1368" w:type="dxa"/>
          </w:tcPr>
          <w:p w14:paraId="261FDA13" w14:textId="77777777" w:rsidR="006779EB" w:rsidRPr="00363E6D" w:rsidRDefault="006779EB" w:rsidP="006779EB">
            <w:r>
              <w:t>Class 4</w:t>
            </w:r>
          </w:p>
        </w:tc>
        <w:tc>
          <w:tcPr>
            <w:tcW w:w="1080" w:type="dxa"/>
          </w:tcPr>
          <w:p w14:paraId="2EFDDA2E" w14:textId="77777777" w:rsidR="006779EB" w:rsidRPr="004D770B" w:rsidRDefault="006779EB" w:rsidP="006779EB">
            <w:r>
              <w:t>Feb 2</w:t>
            </w:r>
          </w:p>
        </w:tc>
        <w:tc>
          <w:tcPr>
            <w:tcW w:w="7290" w:type="dxa"/>
          </w:tcPr>
          <w:p w14:paraId="5BA7D0EE" w14:textId="292F73D9" w:rsidR="006779EB" w:rsidRDefault="006B41CA" w:rsidP="00303D79">
            <w:pPr>
              <w:rPr>
                <w:sz w:val="32"/>
              </w:rPr>
            </w:pPr>
            <w:r>
              <w:t>Chap. 7-- pp. 483-517</w:t>
            </w:r>
            <w:r w:rsidR="00303D79">
              <w:t xml:space="preserve">. </w:t>
            </w:r>
            <w:r w:rsidR="00851091">
              <w:t xml:space="preserve"> This </w:t>
            </w:r>
            <w:r w:rsidR="00303D79">
              <w:t>reading delves into</w:t>
            </w:r>
            <w:r w:rsidR="00851091">
              <w:t xml:space="preserve"> </w:t>
            </w:r>
            <w:r w:rsidR="00303D79">
              <w:t xml:space="preserve">federal </w:t>
            </w:r>
            <w:r w:rsidR="00851091">
              <w:t>labor l</w:t>
            </w:r>
            <w:r>
              <w:t xml:space="preserve">aw and its application to sports.   I have uploaded the current CBA’s of the WNBA, NBA, NFL, NHL, and MLB in bSpace for convenient reference.  The material in the book is out of date due to the recent new CBA’s for MLS, NBA and NFL.  </w:t>
            </w:r>
          </w:p>
        </w:tc>
      </w:tr>
      <w:tr w:rsidR="006779EB" w14:paraId="00C0E907" w14:textId="77777777" w:rsidTr="006779EB">
        <w:tc>
          <w:tcPr>
            <w:tcW w:w="1368" w:type="dxa"/>
          </w:tcPr>
          <w:p w14:paraId="3B68F6B9" w14:textId="77777777" w:rsidR="006779EB" w:rsidRPr="00363E6D" w:rsidRDefault="006779EB" w:rsidP="006779EB">
            <w:r>
              <w:t>Class 5</w:t>
            </w:r>
          </w:p>
        </w:tc>
        <w:tc>
          <w:tcPr>
            <w:tcW w:w="1080" w:type="dxa"/>
          </w:tcPr>
          <w:p w14:paraId="44CDE0C9" w14:textId="77777777" w:rsidR="006779EB" w:rsidRPr="004D770B" w:rsidRDefault="006779EB" w:rsidP="006779EB">
            <w:r>
              <w:t>Feb 9</w:t>
            </w:r>
          </w:p>
        </w:tc>
        <w:tc>
          <w:tcPr>
            <w:tcW w:w="7290" w:type="dxa"/>
          </w:tcPr>
          <w:p w14:paraId="29356719" w14:textId="5DE58573" w:rsidR="006779EB" w:rsidRPr="004D770B" w:rsidRDefault="006B41CA" w:rsidP="00303D79">
            <w:r>
              <w:t xml:space="preserve">Chap. 7-- </w:t>
            </w:r>
            <w:r w:rsidRPr="00363E6D">
              <w:t>pp. 537-</w:t>
            </w:r>
            <w:r>
              <w:t>547; 564-583</w:t>
            </w:r>
            <w:r w:rsidR="00303D79">
              <w:t>.</w:t>
            </w:r>
            <w:r>
              <w:t xml:space="preserve">  </w:t>
            </w:r>
          </w:p>
        </w:tc>
      </w:tr>
      <w:tr w:rsidR="006779EB" w14:paraId="30277F15" w14:textId="77777777" w:rsidTr="006779EB">
        <w:tc>
          <w:tcPr>
            <w:tcW w:w="1368" w:type="dxa"/>
          </w:tcPr>
          <w:p w14:paraId="03B854D7" w14:textId="77777777" w:rsidR="006779EB" w:rsidRPr="00363E6D" w:rsidRDefault="006779EB" w:rsidP="006779EB">
            <w:r>
              <w:t>Class 6</w:t>
            </w:r>
          </w:p>
        </w:tc>
        <w:tc>
          <w:tcPr>
            <w:tcW w:w="1080" w:type="dxa"/>
          </w:tcPr>
          <w:p w14:paraId="519B5E6C" w14:textId="77777777" w:rsidR="006779EB" w:rsidRPr="004D770B" w:rsidRDefault="006779EB" w:rsidP="006779EB">
            <w:r>
              <w:t>Feb 16</w:t>
            </w:r>
          </w:p>
        </w:tc>
        <w:tc>
          <w:tcPr>
            <w:tcW w:w="7290" w:type="dxa"/>
          </w:tcPr>
          <w:p w14:paraId="1B2D03D4" w14:textId="109D454C" w:rsidR="000A655A" w:rsidRDefault="000A655A" w:rsidP="000A655A">
            <w:r>
              <w:t>Chap. 6—pp. 436-480</w:t>
            </w:r>
            <w:r w:rsidR="00303D79">
              <w:t xml:space="preserve">. This assignment is </w:t>
            </w:r>
            <w:r>
              <w:t xml:space="preserve">for this class and the next.  There is no logical break in the reading; however, if we will probably cover up through about p. 466 in the first class.  Now that you have an understanding of both antitrust and labor law, this reading addresses the important intersection between labor law and antitrust law.    This conflict between the two policies was demonstrated in the recent NFL and NBA lockouts.  I have uploaded </w:t>
            </w:r>
            <w:r w:rsidR="00303D79">
              <w:t xml:space="preserve">to bSpace </w:t>
            </w:r>
            <w:r>
              <w:t xml:space="preserve">the complaints filed in the litigation that pertains to the recent lockouts.  I suggest you skim them as supplemental reading to observe how the appellate case law translates into tactical use of antitrust and labor law in negotiation of the collective bargaining agreements.  </w:t>
            </w:r>
          </w:p>
          <w:p w14:paraId="508241EA" w14:textId="5871A753" w:rsidR="006779EB" w:rsidRPr="000A655A" w:rsidRDefault="006779EB" w:rsidP="00036F5B"/>
        </w:tc>
      </w:tr>
      <w:tr w:rsidR="006779EB" w14:paraId="106017B0" w14:textId="77777777" w:rsidTr="006779EB">
        <w:tc>
          <w:tcPr>
            <w:tcW w:w="1368" w:type="dxa"/>
          </w:tcPr>
          <w:p w14:paraId="764310A2" w14:textId="77777777" w:rsidR="006779EB" w:rsidRPr="004D770B" w:rsidRDefault="006779EB" w:rsidP="006779EB">
            <w:r w:rsidRPr="004D770B">
              <w:lastRenderedPageBreak/>
              <w:t>Class 7</w:t>
            </w:r>
          </w:p>
        </w:tc>
        <w:tc>
          <w:tcPr>
            <w:tcW w:w="1080" w:type="dxa"/>
          </w:tcPr>
          <w:p w14:paraId="05E2060D" w14:textId="77777777" w:rsidR="006779EB" w:rsidRPr="004D770B" w:rsidRDefault="006779EB" w:rsidP="006779EB">
            <w:r>
              <w:t>Feb  23</w:t>
            </w:r>
          </w:p>
        </w:tc>
        <w:tc>
          <w:tcPr>
            <w:tcW w:w="7290" w:type="dxa"/>
          </w:tcPr>
          <w:p w14:paraId="4B0EC31D" w14:textId="2B6F7CAC" w:rsidR="006779EB" w:rsidRPr="004D770B" w:rsidRDefault="000A655A" w:rsidP="006779EB">
            <w:r>
              <w:t>pp. 436-480, continued.</w:t>
            </w:r>
          </w:p>
        </w:tc>
      </w:tr>
      <w:tr w:rsidR="006779EB" w14:paraId="7082458C" w14:textId="77777777" w:rsidTr="006779EB">
        <w:tc>
          <w:tcPr>
            <w:tcW w:w="1368" w:type="dxa"/>
          </w:tcPr>
          <w:p w14:paraId="517980D8" w14:textId="77777777" w:rsidR="006779EB" w:rsidRPr="004D770B" w:rsidRDefault="006779EB" w:rsidP="006779EB">
            <w:r w:rsidRPr="004D770B">
              <w:t>Class 8</w:t>
            </w:r>
          </w:p>
        </w:tc>
        <w:tc>
          <w:tcPr>
            <w:tcW w:w="1080" w:type="dxa"/>
          </w:tcPr>
          <w:p w14:paraId="3D50CA5E" w14:textId="77777777" w:rsidR="006779EB" w:rsidRPr="004D770B" w:rsidRDefault="006779EB" w:rsidP="006779EB">
            <w:r>
              <w:t>Mar 1</w:t>
            </w:r>
          </w:p>
        </w:tc>
        <w:tc>
          <w:tcPr>
            <w:tcW w:w="7290" w:type="dxa"/>
          </w:tcPr>
          <w:p w14:paraId="5F704134" w14:textId="189E26F9" w:rsidR="006779EB" w:rsidRPr="004D770B" w:rsidRDefault="006C41B5" w:rsidP="006779EB">
            <w:r>
              <w:t>Chap.  12--</w:t>
            </w:r>
            <w:r w:rsidR="000A655A">
              <w:t>pp. 903-931</w:t>
            </w:r>
          </w:p>
        </w:tc>
      </w:tr>
      <w:tr w:rsidR="006779EB" w14:paraId="45FDD5F1" w14:textId="77777777" w:rsidTr="006779EB">
        <w:tc>
          <w:tcPr>
            <w:tcW w:w="1368" w:type="dxa"/>
          </w:tcPr>
          <w:p w14:paraId="50B30E02" w14:textId="77777777" w:rsidR="006779EB" w:rsidRPr="004D770B" w:rsidRDefault="006779EB" w:rsidP="006779EB">
            <w:r w:rsidRPr="004D770B">
              <w:t>Class 9</w:t>
            </w:r>
          </w:p>
        </w:tc>
        <w:tc>
          <w:tcPr>
            <w:tcW w:w="1080" w:type="dxa"/>
          </w:tcPr>
          <w:p w14:paraId="002D5033" w14:textId="77777777" w:rsidR="006779EB" w:rsidRPr="004D770B" w:rsidRDefault="006779EB" w:rsidP="006779EB">
            <w:r>
              <w:t>Mar 8</w:t>
            </w:r>
          </w:p>
        </w:tc>
        <w:tc>
          <w:tcPr>
            <w:tcW w:w="7290" w:type="dxa"/>
          </w:tcPr>
          <w:p w14:paraId="656A7676" w14:textId="4BFCC418" w:rsidR="006C41B5" w:rsidRPr="00CC4415" w:rsidRDefault="006C41B5" w:rsidP="006C41B5">
            <w:r>
              <w:t>Chap</w:t>
            </w:r>
            <w:r w:rsidR="00E734E5">
              <w:t>.</w:t>
            </w:r>
            <w:r>
              <w:t xml:space="preserve"> 12--</w:t>
            </w:r>
            <w:r w:rsidRPr="00363E6D">
              <w:t>971-990</w:t>
            </w:r>
            <w:r w:rsidR="00495BB0">
              <w:t>; 1006-1013 &amp; Note 1.</w:t>
            </w:r>
            <w:r>
              <w:t xml:space="preserve"> </w:t>
            </w:r>
            <w:r w:rsidR="00E734E5">
              <w:t xml:space="preserve">  </w:t>
            </w:r>
            <w:r w:rsidR="00495BB0">
              <w:t xml:space="preserve">Review </w:t>
            </w:r>
            <w:r w:rsidR="00E734E5">
              <w:t>the complaint filed by retired NFL players (</w:t>
            </w:r>
            <w:r w:rsidR="00E734E5" w:rsidRPr="00E734E5">
              <w:rPr>
                <w:i/>
              </w:rPr>
              <w:t>Finn v. NFL</w:t>
            </w:r>
            <w:r w:rsidR="00E734E5">
              <w:t xml:space="preserve">—bSpace) regarding </w:t>
            </w:r>
            <w:r w:rsidR="00D220BA">
              <w:t xml:space="preserve">liability for </w:t>
            </w:r>
            <w:r w:rsidR="00E734E5">
              <w:t>head injuries</w:t>
            </w:r>
            <w:r w:rsidR="00D220BA">
              <w:t xml:space="preserve"> and use of pain medication</w:t>
            </w:r>
            <w:r w:rsidR="00E734E5">
              <w:t>.</w:t>
            </w:r>
          </w:p>
          <w:p w14:paraId="404F8714" w14:textId="77777777" w:rsidR="006779EB" w:rsidRPr="004D770B" w:rsidRDefault="006779EB" w:rsidP="00CC4415"/>
        </w:tc>
      </w:tr>
      <w:tr w:rsidR="006779EB" w14:paraId="1F836501" w14:textId="77777777" w:rsidTr="006779EB">
        <w:tc>
          <w:tcPr>
            <w:tcW w:w="1368" w:type="dxa"/>
          </w:tcPr>
          <w:p w14:paraId="360569ED" w14:textId="77777777" w:rsidR="006779EB" w:rsidRPr="004D770B" w:rsidRDefault="006779EB" w:rsidP="006779EB">
            <w:r w:rsidRPr="004D770B">
              <w:t>Class 10</w:t>
            </w:r>
          </w:p>
        </w:tc>
        <w:tc>
          <w:tcPr>
            <w:tcW w:w="1080" w:type="dxa"/>
          </w:tcPr>
          <w:p w14:paraId="08BD67BE" w14:textId="77777777" w:rsidR="006779EB" w:rsidRPr="004D770B" w:rsidRDefault="006779EB" w:rsidP="006779EB">
            <w:r>
              <w:t>Mar 15</w:t>
            </w:r>
          </w:p>
        </w:tc>
        <w:tc>
          <w:tcPr>
            <w:tcW w:w="7290" w:type="dxa"/>
          </w:tcPr>
          <w:p w14:paraId="654191CD" w14:textId="3AFB9D31" w:rsidR="00E92705" w:rsidRPr="004D770B" w:rsidRDefault="009B74E1" w:rsidP="00495BB0">
            <w:r>
              <w:t>Chap. 13--</w:t>
            </w:r>
            <w:r w:rsidRPr="00363E6D">
              <w:t>pp. 1023-1043</w:t>
            </w:r>
            <w:r w:rsidR="005C380C">
              <w:t xml:space="preserve">.   </w:t>
            </w:r>
            <w:r w:rsidR="006C41B5">
              <w:t>A portion of this class will feature a team physician on Legal Issues in Sports Medicine.</w:t>
            </w:r>
            <w:r w:rsidR="009B2C6A">
              <w:t xml:space="preserve"> </w:t>
            </w:r>
            <w:r w:rsidR="00D220BA">
              <w:t xml:space="preserve"> This will reinforce some of the material in Chapter 12. </w:t>
            </w:r>
          </w:p>
        </w:tc>
      </w:tr>
      <w:tr w:rsidR="006779EB" w14:paraId="40FB59B1" w14:textId="77777777" w:rsidTr="006779EB">
        <w:tc>
          <w:tcPr>
            <w:tcW w:w="1368" w:type="dxa"/>
          </w:tcPr>
          <w:p w14:paraId="0EC690B0" w14:textId="77777777" w:rsidR="006779EB" w:rsidRPr="004D770B" w:rsidRDefault="006779EB" w:rsidP="006779EB">
            <w:r w:rsidRPr="004D770B">
              <w:t>Class 11</w:t>
            </w:r>
          </w:p>
        </w:tc>
        <w:tc>
          <w:tcPr>
            <w:tcW w:w="1080" w:type="dxa"/>
          </w:tcPr>
          <w:p w14:paraId="72A961B0" w14:textId="77777777" w:rsidR="006779EB" w:rsidRPr="004D770B" w:rsidRDefault="006779EB" w:rsidP="006779EB">
            <w:r>
              <w:t>Mar 22</w:t>
            </w:r>
          </w:p>
        </w:tc>
        <w:tc>
          <w:tcPr>
            <w:tcW w:w="7290" w:type="dxa"/>
          </w:tcPr>
          <w:p w14:paraId="67158E27" w14:textId="2B2D9D54" w:rsidR="006779EB" w:rsidRPr="004D770B" w:rsidRDefault="009B74E1" w:rsidP="00AF0A12">
            <w:r>
              <w:t>Chap. 13--</w:t>
            </w:r>
            <w:r w:rsidRPr="00363E6D">
              <w:t>pp. 1043-1086</w:t>
            </w:r>
            <w:r w:rsidR="005C380C">
              <w:t xml:space="preserve">.  </w:t>
            </w:r>
            <w:r w:rsidR="00E734E5">
              <w:t xml:space="preserve"> </w:t>
            </w:r>
            <w:r w:rsidR="00AF0A12">
              <w:t xml:space="preserve">In addition to this reading, </w:t>
            </w:r>
            <w:r w:rsidR="00E734E5">
              <w:t xml:space="preserve">I suggest you </w:t>
            </w:r>
            <w:r w:rsidR="00AF0A12">
              <w:t>review</w:t>
            </w:r>
            <w:r w:rsidR="00E734E5">
              <w:t xml:space="preserve"> the complaint in </w:t>
            </w:r>
            <w:r w:rsidR="00E734E5" w:rsidRPr="00E734E5">
              <w:rPr>
                <w:i/>
              </w:rPr>
              <w:t>Barnett v. NFL</w:t>
            </w:r>
            <w:r w:rsidR="00E734E5">
              <w:t xml:space="preserve"> (bSpace) regarding use of images of retired players.  </w:t>
            </w:r>
            <w:r w:rsidR="006C41B5">
              <w:t xml:space="preserve"> The second hour will include a guest speaker on equal treatment of women sportswriters</w:t>
            </w:r>
            <w:r w:rsidR="00AF0A12">
              <w:t>,</w:t>
            </w:r>
            <w:r w:rsidR="006C41B5">
              <w:t xml:space="preserve"> and counseling the modern athlete on press relations.  Please read </w:t>
            </w:r>
            <w:r w:rsidR="006C41B5" w:rsidRPr="005C380C">
              <w:rPr>
                <w:i/>
              </w:rPr>
              <w:t>Ludtke v. Kuhn</w:t>
            </w:r>
            <w:r w:rsidR="009B2C6A">
              <w:t xml:space="preserve"> for a case dealing with this issue</w:t>
            </w:r>
            <w:r w:rsidR="005C380C">
              <w:t>.</w:t>
            </w:r>
            <w:r w:rsidR="009B2C6A">
              <w:t xml:space="preserve">  (bSpace)  </w:t>
            </w:r>
          </w:p>
        </w:tc>
      </w:tr>
      <w:tr w:rsidR="006779EB" w14:paraId="14F9716B" w14:textId="77777777" w:rsidTr="006779EB">
        <w:trPr>
          <w:trHeight w:val="251"/>
        </w:trPr>
        <w:tc>
          <w:tcPr>
            <w:tcW w:w="1368" w:type="dxa"/>
          </w:tcPr>
          <w:p w14:paraId="05ACA7E2" w14:textId="77777777" w:rsidR="006779EB" w:rsidRPr="004D770B" w:rsidRDefault="006779EB" w:rsidP="006779EB">
            <w:r w:rsidRPr="004D770B">
              <w:t>Class 12</w:t>
            </w:r>
          </w:p>
        </w:tc>
        <w:tc>
          <w:tcPr>
            <w:tcW w:w="1080" w:type="dxa"/>
          </w:tcPr>
          <w:p w14:paraId="4BB12EA4" w14:textId="77777777" w:rsidR="006779EB" w:rsidRPr="004D770B" w:rsidRDefault="006779EB" w:rsidP="006779EB">
            <w:r>
              <w:t>Apr 5</w:t>
            </w:r>
          </w:p>
        </w:tc>
        <w:tc>
          <w:tcPr>
            <w:tcW w:w="7290" w:type="dxa"/>
          </w:tcPr>
          <w:p w14:paraId="6757237D" w14:textId="26B131D2" w:rsidR="006779EB" w:rsidRPr="004D770B" w:rsidRDefault="006C41B5" w:rsidP="00495BB0">
            <w:r>
              <w:t xml:space="preserve">Chap. 8-- </w:t>
            </w:r>
            <w:r w:rsidRPr="00363E6D">
              <w:t xml:space="preserve">pp. </w:t>
            </w:r>
            <w:r w:rsidR="00495BB0">
              <w:t>609-625</w:t>
            </w:r>
          </w:p>
        </w:tc>
      </w:tr>
      <w:tr w:rsidR="006779EB" w14:paraId="35C82DDA" w14:textId="77777777" w:rsidTr="006779EB">
        <w:tc>
          <w:tcPr>
            <w:tcW w:w="1368" w:type="dxa"/>
          </w:tcPr>
          <w:p w14:paraId="4080C4C7" w14:textId="77777777" w:rsidR="006779EB" w:rsidRPr="004D770B" w:rsidRDefault="006779EB" w:rsidP="006779EB">
            <w:r w:rsidRPr="004D770B">
              <w:t>Class 13</w:t>
            </w:r>
          </w:p>
        </w:tc>
        <w:tc>
          <w:tcPr>
            <w:tcW w:w="1080" w:type="dxa"/>
          </w:tcPr>
          <w:p w14:paraId="2709D4E5" w14:textId="77777777" w:rsidR="006779EB" w:rsidRPr="004D770B" w:rsidRDefault="006779EB" w:rsidP="006779EB">
            <w:r>
              <w:t>Apr 12</w:t>
            </w:r>
          </w:p>
        </w:tc>
        <w:tc>
          <w:tcPr>
            <w:tcW w:w="7290" w:type="dxa"/>
          </w:tcPr>
          <w:p w14:paraId="3F391D6C" w14:textId="5934D105" w:rsidR="006C41B5" w:rsidRPr="00CC4415" w:rsidRDefault="006C41B5" w:rsidP="006C41B5">
            <w:r>
              <w:t xml:space="preserve">Chap. 8-- </w:t>
            </w:r>
            <w:r w:rsidRPr="00363E6D">
              <w:t>pp. 652-664</w:t>
            </w:r>
            <w:r>
              <w:t>.  This reading features the 7</w:t>
            </w:r>
            <w:r w:rsidRPr="00CC4415">
              <w:rPr>
                <w:vertAlign w:val="superscript"/>
              </w:rPr>
              <w:t>th</w:t>
            </w:r>
            <w:r w:rsidR="00303D79">
              <w:t xml:space="preserve"> Cir. o</w:t>
            </w:r>
            <w:r>
              <w:t xml:space="preserve">pinion in </w:t>
            </w:r>
            <w:r w:rsidRPr="00CC4415">
              <w:rPr>
                <w:i/>
              </w:rPr>
              <w:t>American Needle</w:t>
            </w:r>
            <w:r w:rsidR="00FD3984">
              <w:t xml:space="preserve">. </w:t>
            </w:r>
            <w:r w:rsidR="00495BB0">
              <w:t>T</w:t>
            </w:r>
            <w:r w:rsidR="00FD3984">
              <w:t xml:space="preserve">he </w:t>
            </w:r>
            <w:r w:rsidR="00495BB0">
              <w:t xml:space="preserve">later </w:t>
            </w:r>
            <w:r w:rsidR="00FD3984">
              <w:t>Supreme Court</w:t>
            </w:r>
            <w:r>
              <w:t xml:space="preserve"> opinion in </w:t>
            </w:r>
            <w:r>
              <w:rPr>
                <w:i/>
              </w:rPr>
              <w:t>American Needle,</w:t>
            </w:r>
            <w:r w:rsidR="00495BB0">
              <w:rPr>
                <w:i/>
              </w:rPr>
              <w:t xml:space="preserve"> </w:t>
            </w:r>
            <w:r>
              <w:rPr>
                <w:i/>
              </w:rPr>
              <w:t xml:space="preserve"> </w:t>
            </w:r>
            <w:r w:rsidRPr="00CC4415">
              <w:t>which was decided after this book was published</w:t>
            </w:r>
            <w:r w:rsidR="00495BB0">
              <w:t>, is in bSpace</w:t>
            </w:r>
            <w:r>
              <w:rPr>
                <w:i/>
              </w:rPr>
              <w:t xml:space="preserve">.  </w:t>
            </w:r>
            <w:r>
              <w:t>Included as well is the Solicitor General brief, as optional reading.  Both may be found on bSpace.</w:t>
            </w:r>
          </w:p>
          <w:p w14:paraId="0D2A95F9" w14:textId="77777777" w:rsidR="006779EB" w:rsidRPr="0081722C" w:rsidRDefault="006779EB" w:rsidP="006779EB"/>
        </w:tc>
      </w:tr>
      <w:tr w:rsidR="006779EB" w14:paraId="21BABBBB" w14:textId="77777777" w:rsidTr="006779EB">
        <w:tc>
          <w:tcPr>
            <w:tcW w:w="1368" w:type="dxa"/>
          </w:tcPr>
          <w:p w14:paraId="5B93C71B" w14:textId="77777777" w:rsidR="006779EB" w:rsidRPr="004D770B" w:rsidRDefault="006779EB" w:rsidP="006779EB">
            <w:r w:rsidRPr="004D770B">
              <w:t>Class 14</w:t>
            </w:r>
          </w:p>
        </w:tc>
        <w:tc>
          <w:tcPr>
            <w:tcW w:w="1080" w:type="dxa"/>
          </w:tcPr>
          <w:p w14:paraId="4F4A3884" w14:textId="77777777" w:rsidR="006779EB" w:rsidRPr="004D770B" w:rsidRDefault="006779EB" w:rsidP="006779EB">
            <w:r>
              <w:t>Apr 19</w:t>
            </w:r>
          </w:p>
        </w:tc>
        <w:tc>
          <w:tcPr>
            <w:tcW w:w="7290" w:type="dxa"/>
          </w:tcPr>
          <w:p w14:paraId="6D66F465" w14:textId="0369BDB1" w:rsidR="009B2C6A" w:rsidRPr="004D770B" w:rsidRDefault="006779EB" w:rsidP="00532231">
            <w:r>
              <w:t xml:space="preserve">Chap. 10-- pp. </w:t>
            </w:r>
            <w:r w:rsidR="00AD2013">
              <w:t xml:space="preserve">765-770; </w:t>
            </w:r>
            <w:r w:rsidR="00B35822">
              <w:t>780-822</w:t>
            </w:r>
            <w:bookmarkStart w:id="0" w:name="_GoBack"/>
            <w:bookmarkEnd w:id="0"/>
          </w:p>
        </w:tc>
      </w:tr>
    </w:tbl>
    <w:p w14:paraId="13C0C449" w14:textId="77777777" w:rsidR="00D379EC" w:rsidRDefault="00D379EC"/>
    <w:p w14:paraId="6536E5B5" w14:textId="2A5C9826" w:rsidR="009B2C6A" w:rsidRDefault="009B2C6A">
      <w:r>
        <w:t xml:space="preserve">There will be a </w:t>
      </w:r>
      <w:r w:rsidR="00F96EDC">
        <w:t xml:space="preserve">final </w:t>
      </w:r>
      <w:r>
        <w:t>review session on a date we will agree upon in Class.</w:t>
      </w:r>
    </w:p>
    <w:p w14:paraId="06172BA5" w14:textId="6DE1B362" w:rsidR="005C380C" w:rsidRDefault="005C380C">
      <w:r>
        <w:t xml:space="preserve">We may make </w:t>
      </w:r>
      <w:r w:rsidR="00453350">
        <w:t xml:space="preserve">slight </w:t>
      </w:r>
      <w:r>
        <w:t>adjustments in the readings and topics during the semester in response to current legal events which may occur and be worthy of discussion in class.</w:t>
      </w:r>
      <w:r w:rsidR="009B2C6A">
        <w:t xml:space="preserve">  Due to the wide breadth of subject matter</w:t>
      </w:r>
      <w:r w:rsidR="00453350">
        <w:t xml:space="preserve"> of the course</w:t>
      </w:r>
      <w:r w:rsidR="009B2C6A">
        <w:t xml:space="preserve">, and the importance of effective class discussion, we may not  be able to discuss </w:t>
      </w:r>
      <w:r w:rsidR="00453350">
        <w:t xml:space="preserve">in class </w:t>
      </w:r>
      <w:r w:rsidR="009B2C6A">
        <w:t xml:space="preserve">every case assigned </w:t>
      </w:r>
      <w:r w:rsidR="00453350">
        <w:t>for reading</w:t>
      </w:r>
      <w:r w:rsidR="009B2C6A">
        <w:t>.</w:t>
      </w:r>
    </w:p>
    <w:sectPr w:rsidR="005C380C" w:rsidSect="00D379E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9EB"/>
    <w:rsid w:val="00036F5B"/>
    <w:rsid w:val="000A655A"/>
    <w:rsid w:val="00174DC7"/>
    <w:rsid w:val="00290EFD"/>
    <w:rsid w:val="002D5B5E"/>
    <w:rsid w:val="00303D79"/>
    <w:rsid w:val="00453350"/>
    <w:rsid w:val="00495BB0"/>
    <w:rsid w:val="00532231"/>
    <w:rsid w:val="005709DE"/>
    <w:rsid w:val="005C380C"/>
    <w:rsid w:val="006779EB"/>
    <w:rsid w:val="006A498E"/>
    <w:rsid w:val="006B41CA"/>
    <w:rsid w:val="006C41B5"/>
    <w:rsid w:val="00735E86"/>
    <w:rsid w:val="00741C40"/>
    <w:rsid w:val="007501B2"/>
    <w:rsid w:val="00851091"/>
    <w:rsid w:val="009B2C6A"/>
    <w:rsid w:val="009B74E1"/>
    <w:rsid w:val="00AD2013"/>
    <w:rsid w:val="00AF0A12"/>
    <w:rsid w:val="00B35822"/>
    <w:rsid w:val="00BF7124"/>
    <w:rsid w:val="00CC4415"/>
    <w:rsid w:val="00D220BA"/>
    <w:rsid w:val="00D379EC"/>
    <w:rsid w:val="00DC18FA"/>
    <w:rsid w:val="00E733BD"/>
    <w:rsid w:val="00E734E5"/>
    <w:rsid w:val="00E92705"/>
    <w:rsid w:val="00F96EDC"/>
    <w:rsid w:val="00FD398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B9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9EB"/>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79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9EB"/>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79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560</Words>
  <Characters>3193</Characters>
  <Application>Microsoft Macintosh Word</Application>
  <DocSecurity>0</DocSecurity>
  <Lines>26</Lines>
  <Paragraphs>7</Paragraphs>
  <ScaleCrop>false</ScaleCrop>
  <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EISENHARDT</dc:creator>
  <cp:keywords/>
  <dc:description/>
  <cp:lastModifiedBy>Elizabeth EISENHARDT</cp:lastModifiedBy>
  <cp:revision>6</cp:revision>
  <cp:lastPrinted>2012-01-15T20:35:00Z</cp:lastPrinted>
  <dcterms:created xsi:type="dcterms:W3CDTF">2012-01-15T21:31:00Z</dcterms:created>
  <dcterms:modified xsi:type="dcterms:W3CDTF">2012-01-15T22:38:00Z</dcterms:modified>
</cp:coreProperties>
</file>